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bookmarkStart w:id="0" w:name="_GoBack"/>
      <w:bookmarkEnd w:id="0"/>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0B61A8A1" w:rsidR="00D07095" w:rsidRPr="00402C3E" w:rsidRDefault="00965A4F" w:rsidP="004005B5">
      <w:pPr>
        <w:pStyle w:val="Heading"/>
        <w:tabs>
          <w:tab w:val="left" w:pos="0"/>
        </w:tabs>
        <w:spacing w:before="0" w:after="0"/>
        <w:ind w:firstLine="1"/>
        <w:rPr>
          <w:sz w:val="22"/>
          <w:szCs w:val="22"/>
        </w:rPr>
      </w:pPr>
      <w:r>
        <w:rPr>
          <w:szCs w:val="22"/>
        </w:rPr>
        <w:t>PRC-025-1</w:t>
      </w:r>
      <w:r w:rsidR="0043375A" w:rsidRPr="00F548BE">
        <w:rPr>
          <w:szCs w:val="22"/>
        </w:rPr>
        <w:t xml:space="preserve"> – </w:t>
      </w:r>
      <w:r>
        <w:rPr>
          <w:szCs w:val="22"/>
        </w:rPr>
        <w:t>Generator Relay Loadability</w:t>
      </w:r>
      <w:r w:rsidR="00A07D34" w:rsidRPr="00F548BE">
        <w:rPr>
          <w:szCs w:val="22"/>
        </w:rPr>
        <w:t xml:space="preserve"> </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3B4C8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3B4C8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3B4C87">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3B4C87">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3B4C87">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3B4C87">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3B4C87">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3B4C87">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3B4C87">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5B0154AA" w:rsidR="000B0E7C" w:rsidRPr="00866825" w:rsidRDefault="000B0E7C" w:rsidP="0093048F">
      <w:pPr>
        <w:pStyle w:val="Heading1"/>
        <w:rPr>
          <w:rFonts w:asciiTheme="minorHAnsi" w:hAnsiTheme="minorHAnsi"/>
          <w:color w:val="auto"/>
          <w:sz w:val="24"/>
          <w:szCs w:val="24"/>
        </w:rPr>
      </w:pPr>
      <w:bookmarkStart w:id="1"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2331BECA" w14:textId="77777777" w:rsidTr="00FE4A7A">
        <w:tc>
          <w:tcPr>
            <w:tcW w:w="605" w:type="dxa"/>
            <w:shd w:val="clear" w:color="auto" w:fill="DCDCFF"/>
          </w:tcPr>
          <w:p w14:paraId="44EAFC9D"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E9EF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69A437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1BE61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4576F8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195E601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49928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32E350B" w14:textId="77777777" w:rsidTr="00FE4A7A">
        <w:tc>
          <w:tcPr>
            <w:tcW w:w="605" w:type="dxa"/>
            <w:shd w:val="clear" w:color="auto" w:fill="DCDCFF"/>
          </w:tcPr>
          <w:p w14:paraId="467103F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3C8ED2AC" w:rsidR="003E1E03" w:rsidRPr="00171071" w:rsidRDefault="003E1E03" w:rsidP="00171071">
            <w:pPr>
              <w:jc w:val="center"/>
              <w:rPr>
                <w:rFonts w:asciiTheme="minorHAnsi" w:hAnsiTheme="minorHAnsi"/>
                <w:sz w:val="20"/>
                <w:szCs w:val="20"/>
              </w:rPr>
            </w:pPr>
          </w:p>
        </w:tc>
        <w:tc>
          <w:tcPr>
            <w:tcW w:w="605" w:type="dxa"/>
            <w:shd w:val="clear" w:color="auto" w:fill="DCDCFF"/>
          </w:tcPr>
          <w:p w14:paraId="4D8D342C" w14:textId="35F16DBF" w:rsidR="003E1E03" w:rsidRPr="00171071" w:rsidRDefault="004D55C0" w:rsidP="00171071">
            <w:pPr>
              <w:jc w:val="center"/>
              <w:rPr>
                <w:rFonts w:asciiTheme="minorHAnsi" w:hAnsiTheme="minorHAnsi"/>
                <w:sz w:val="20"/>
                <w:szCs w:val="20"/>
              </w:rPr>
            </w:pPr>
            <w:r>
              <w:rPr>
                <w:rFonts w:asciiTheme="minorHAnsi" w:hAnsiTheme="minorHAnsi"/>
                <w:sz w:val="20"/>
                <w:szCs w:val="20"/>
              </w:rPr>
              <w:t>X</w:t>
            </w:r>
            <w:bookmarkStart w:id="2" w:name="_Ref394396654"/>
            <w:r w:rsidR="008B56FB">
              <w:rPr>
                <w:rStyle w:val="FootnoteReference"/>
                <w:rFonts w:asciiTheme="minorHAnsi" w:hAnsiTheme="minorHAnsi"/>
                <w:sz w:val="20"/>
                <w:szCs w:val="20"/>
              </w:rPr>
              <w:footnoteReference w:id="3"/>
            </w:r>
            <w:bookmarkEnd w:id="2"/>
          </w:p>
        </w:tc>
        <w:tc>
          <w:tcPr>
            <w:tcW w:w="605" w:type="dxa"/>
            <w:shd w:val="clear" w:color="auto" w:fill="DCDCFF"/>
          </w:tcPr>
          <w:p w14:paraId="3D1763C3" w14:textId="688AACA4"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r w:rsidR="008B56FB" w:rsidRPr="008B56FB">
              <w:rPr>
                <w:rFonts w:asciiTheme="minorHAnsi" w:hAnsiTheme="minorHAnsi"/>
                <w:sz w:val="20"/>
                <w:szCs w:val="20"/>
                <w:vertAlign w:val="superscript"/>
              </w:rPr>
              <w:fldChar w:fldCharType="begin"/>
            </w:r>
            <w:r w:rsidR="008B56FB" w:rsidRPr="008B56FB">
              <w:rPr>
                <w:rFonts w:asciiTheme="minorHAnsi" w:hAnsiTheme="minorHAnsi"/>
                <w:sz w:val="20"/>
                <w:szCs w:val="20"/>
                <w:vertAlign w:val="superscript"/>
              </w:rPr>
              <w:instrText xml:space="preserve"> NOTEREF _Ref394396654 \h </w:instrText>
            </w:r>
            <w:r w:rsidR="008B56FB">
              <w:rPr>
                <w:rFonts w:asciiTheme="minorHAnsi" w:hAnsiTheme="minorHAnsi"/>
                <w:sz w:val="20"/>
                <w:szCs w:val="20"/>
                <w:vertAlign w:val="superscript"/>
              </w:rPr>
              <w:instrText xml:space="preserve"> \* MERGEFORMAT </w:instrText>
            </w:r>
            <w:r w:rsidR="008B56FB" w:rsidRPr="008B56FB">
              <w:rPr>
                <w:rFonts w:asciiTheme="minorHAnsi" w:hAnsiTheme="minorHAnsi"/>
                <w:sz w:val="20"/>
                <w:szCs w:val="20"/>
                <w:vertAlign w:val="superscript"/>
              </w:rPr>
            </w:r>
            <w:r w:rsidR="008B56FB" w:rsidRPr="008B56FB">
              <w:rPr>
                <w:rFonts w:asciiTheme="minorHAnsi" w:hAnsiTheme="minorHAnsi"/>
                <w:sz w:val="20"/>
                <w:szCs w:val="20"/>
                <w:vertAlign w:val="superscript"/>
              </w:rPr>
              <w:fldChar w:fldCharType="separate"/>
            </w:r>
            <w:r w:rsidR="008B56FB" w:rsidRPr="008B56FB">
              <w:rPr>
                <w:rFonts w:asciiTheme="minorHAnsi" w:hAnsiTheme="minorHAnsi"/>
                <w:sz w:val="20"/>
                <w:szCs w:val="20"/>
                <w:vertAlign w:val="superscript"/>
              </w:rPr>
              <w:t>3</w:t>
            </w:r>
            <w:r w:rsidR="008B56FB" w:rsidRPr="008B56FB">
              <w:rPr>
                <w:rFonts w:asciiTheme="minorHAnsi" w:hAnsiTheme="minorHAnsi"/>
                <w:sz w:val="20"/>
                <w:szCs w:val="20"/>
                <w:vertAlign w:val="superscript"/>
              </w:rPr>
              <w:fldChar w:fldCharType="end"/>
            </w:r>
          </w:p>
        </w:tc>
        <w:tc>
          <w:tcPr>
            <w:tcW w:w="605" w:type="dxa"/>
            <w:shd w:val="clear" w:color="auto" w:fill="DCDCFF"/>
          </w:tcPr>
          <w:p w14:paraId="455AF94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19A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0A0670" w14:textId="4E34F470" w:rsidR="003E1E03" w:rsidRPr="00171071" w:rsidRDefault="003E1E03" w:rsidP="00171071">
            <w:pPr>
              <w:jc w:val="center"/>
              <w:rPr>
                <w:rFonts w:asciiTheme="minorHAnsi" w:hAnsiTheme="minorHAnsi"/>
                <w:sz w:val="20"/>
                <w:szCs w:val="20"/>
              </w:rPr>
            </w:pPr>
          </w:p>
        </w:tc>
        <w:tc>
          <w:tcPr>
            <w:tcW w:w="605" w:type="dxa"/>
            <w:shd w:val="clear" w:color="auto" w:fill="DCDCFF"/>
          </w:tcPr>
          <w:p w14:paraId="20A5BF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B3F9F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88769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39F86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FBBC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47C1520" w14:textId="1AC5C9DD" w:rsidR="003E1E03" w:rsidRPr="00171071" w:rsidRDefault="008B56FB" w:rsidP="00171071">
            <w:pPr>
              <w:jc w:val="center"/>
              <w:rPr>
                <w:rFonts w:asciiTheme="minorHAnsi" w:hAnsiTheme="minorHAnsi"/>
                <w:sz w:val="20"/>
                <w:szCs w:val="20"/>
              </w:rPr>
            </w:pPr>
            <w:r>
              <w:rPr>
                <w:rFonts w:asciiTheme="minorHAnsi" w:hAnsiTheme="minorHAnsi"/>
                <w:sz w:val="20"/>
                <w:szCs w:val="20"/>
              </w:rPr>
              <w:t>X</w:t>
            </w:r>
            <w:r w:rsidRPr="008B56FB">
              <w:rPr>
                <w:rFonts w:asciiTheme="minorHAnsi" w:hAnsiTheme="minorHAnsi"/>
                <w:sz w:val="20"/>
                <w:szCs w:val="20"/>
                <w:vertAlign w:val="superscript"/>
              </w:rPr>
              <w:fldChar w:fldCharType="begin"/>
            </w:r>
            <w:r w:rsidRPr="008B56FB">
              <w:rPr>
                <w:rFonts w:asciiTheme="minorHAnsi" w:hAnsiTheme="minorHAnsi"/>
                <w:sz w:val="20"/>
                <w:szCs w:val="20"/>
                <w:vertAlign w:val="superscript"/>
              </w:rPr>
              <w:instrText xml:space="preserve"> NOTEREF _Ref394396654 \h </w:instrText>
            </w:r>
            <w:r>
              <w:rPr>
                <w:rFonts w:asciiTheme="minorHAnsi" w:hAnsiTheme="minorHAnsi"/>
                <w:sz w:val="20"/>
                <w:szCs w:val="20"/>
                <w:vertAlign w:val="superscript"/>
              </w:rPr>
              <w:instrText xml:space="preserve"> \* MERGEFORMAT </w:instrText>
            </w:r>
            <w:r w:rsidRPr="008B56FB">
              <w:rPr>
                <w:rFonts w:asciiTheme="minorHAnsi" w:hAnsiTheme="minorHAnsi"/>
                <w:sz w:val="20"/>
                <w:szCs w:val="20"/>
                <w:vertAlign w:val="superscript"/>
              </w:rPr>
            </w:r>
            <w:r w:rsidRPr="008B56FB">
              <w:rPr>
                <w:rFonts w:asciiTheme="minorHAnsi" w:hAnsiTheme="minorHAnsi"/>
                <w:sz w:val="20"/>
                <w:szCs w:val="20"/>
                <w:vertAlign w:val="superscript"/>
              </w:rPr>
              <w:fldChar w:fldCharType="separate"/>
            </w:r>
            <w:r w:rsidRPr="008B56FB">
              <w:rPr>
                <w:rFonts w:asciiTheme="minorHAnsi" w:hAnsiTheme="minorHAnsi"/>
                <w:sz w:val="20"/>
                <w:szCs w:val="20"/>
                <w:vertAlign w:val="superscript"/>
              </w:rPr>
              <w:t>3</w:t>
            </w:r>
            <w:r w:rsidRPr="008B56FB">
              <w:rPr>
                <w:rFonts w:asciiTheme="minorHAnsi" w:hAnsiTheme="minorHAnsi"/>
                <w:sz w:val="20"/>
                <w:szCs w:val="20"/>
                <w:vertAlign w:val="superscript"/>
              </w:rPr>
              <w:fldChar w:fldCharType="end"/>
            </w:r>
          </w:p>
        </w:tc>
        <w:tc>
          <w:tcPr>
            <w:tcW w:w="605" w:type="dxa"/>
            <w:shd w:val="clear" w:color="auto" w:fill="DCDCFF"/>
          </w:tcPr>
          <w:p w14:paraId="5743728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18D48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33D2E4" w14:textId="77777777" w:rsidR="003E1E03" w:rsidRPr="00171071" w:rsidRDefault="003E1E03" w:rsidP="00171071">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4DD223F9" w14:textId="48A71AB0" w:rsidR="009F367F" w:rsidRDefault="009F367F" w:rsidP="00121BAB">
      <w:pPr>
        <w:pStyle w:val="Heading1"/>
        <w:rPr>
          <w:rFonts w:asciiTheme="minorHAnsi" w:hAnsiTheme="minorHAnsi"/>
          <w:b/>
          <w:color w:val="auto"/>
          <w:u w:val="single"/>
        </w:rPr>
      </w:pPr>
      <w:r w:rsidRPr="00121BAB">
        <w:rPr>
          <w:rFonts w:asciiTheme="minorHAnsi" w:hAnsiTheme="minorHAnsi"/>
          <w:b/>
          <w:color w:val="auto"/>
          <w:sz w:val="24"/>
          <w:szCs w:val="24"/>
          <w:u w:val="single"/>
        </w:rPr>
        <w:t>Facilities</w:t>
      </w:r>
      <w:r>
        <w:rPr>
          <w:rFonts w:asciiTheme="minorHAnsi" w:hAnsiTheme="minorHAnsi"/>
          <w:b/>
          <w:color w:val="auto"/>
          <w:u w:val="single"/>
        </w:rPr>
        <w:t>:</w:t>
      </w:r>
    </w:p>
    <w:p w14:paraId="11BADC6E" w14:textId="2B3B3D9C" w:rsidR="009F367F" w:rsidRDefault="009F367F">
      <w:pPr>
        <w:autoSpaceDE/>
        <w:autoSpaceDN/>
        <w:adjustRightInd/>
        <w:rPr>
          <w:rFonts w:asciiTheme="minorHAnsi" w:hAnsiTheme="minorHAnsi"/>
          <w:color w:val="auto"/>
        </w:rPr>
      </w:pPr>
      <w:r>
        <w:rPr>
          <w:rFonts w:asciiTheme="minorHAnsi" w:hAnsiTheme="minorHAnsi"/>
          <w:color w:val="auto"/>
        </w:rPr>
        <w:t>The following Elements associated with Bulk Electric System (BES) generating units and generating plants, including those generating units and generating plants identified as Blackstart Resources in the Transmission Operator’s system restoration plan:</w:t>
      </w:r>
    </w:p>
    <w:p w14:paraId="62AB039A" w14:textId="77777777" w:rsidR="005113E1" w:rsidRDefault="005113E1">
      <w:pPr>
        <w:autoSpaceDE/>
        <w:autoSpaceDN/>
        <w:adjustRightInd/>
        <w:rPr>
          <w:rFonts w:asciiTheme="minorHAnsi" w:hAnsiTheme="minorHAnsi"/>
          <w:color w:val="auto"/>
        </w:rPr>
      </w:pPr>
    </w:p>
    <w:p w14:paraId="55B60C34" w14:textId="2778A6DE" w:rsidR="005113E1" w:rsidRPr="005113E1" w:rsidRDefault="005113E1" w:rsidP="005113E1">
      <w:pPr>
        <w:pStyle w:val="ListParagraph"/>
        <w:numPr>
          <w:ilvl w:val="0"/>
          <w:numId w:val="33"/>
        </w:numPr>
        <w:tabs>
          <w:tab w:val="left" w:pos="630"/>
        </w:tabs>
        <w:autoSpaceDE/>
        <w:autoSpaceDN/>
        <w:adjustRightInd/>
        <w:ind w:left="360" w:firstLine="0"/>
        <w:rPr>
          <w:rFonts w:asciiTheme="minorHAnsi" w:hAnsiTheme="minorHAnsi"/>
          <w:color w:val="auto"/>
        </w:rPr>
      </w:pPr>
      <w:r w:rsidRPr="005113E1">
        <w:rPr>
          <w:rFonts w:asciiTheme="minorHAnsi" w:hAnsiTheme="minorHAnsi"/>
          <w:color w:val="auto"/>
        </w:rPr>
        <w:t>Generating unit(s).</w:t>
      </w:r>
    </w:p>
    <w:p w14:paraId="063D2405" w14:textId="77777777" w:rsidR="005113E1" w:rsidRPr="005113E1" w:rsidRDefault="005113E1" w:rsidP="005113E1">
      <w:pPr>
        <w:pStyle w:val="ListParagraph"/>
        <w:numPr>
          <w:ilvl w:val="0"/>
          <w:numId w:val="33"/>
        </w:numPr>
        <w:tabs>
          <w:tab w:val="left" w:pos="630"/>
        </w:tabs>
        <w:autoSpaceDE/>
        <w:autoSpaceDN/>
        <w:adjustRightInd/>
        <w:ind w:left="360" w:firstLine="0"/>
        <w:rPr>
          <w:rFonts w:asciiTheme="minorHAnsi" w:hAnsiTheme="minorHAnsi"/>
          <w:color w:val="auto"/>
        </w:rPr>
      </w:pPr>
      <w:r w:rsidRPr="005113E1">
        <w:rPr>
          <w:rFonts w:asciiTheme="minorHAnsi" w:hAnsiTheme="minorHAnsi"/>
          <w:color w:val="auto"/>
        </w:rPr>
        <w:t>Generator step-up (i.e., GSU) transformer(s).</w:t>
      </w:r>
    </w:p>
    <w:p w14:paraId="5AA65F99" w14:textId="6DD6D154" w:rsidR="005113E1" w:rsidRPr="005113E1" w:rsidRDefault="005113E1" w:rsidP="005113E1">
      <w:pPr>
        <w:pStyle w:val="ListParagraph"/>
        <w:numPr>
          <w:ilvl w:val="0"/>
          <w:numId w:val="33"/>
        </w:numPr>
        <w:tabs>
          <w:tab w:val="left" w:pos="630"/>
        </w:tabs>
        <w:autoSpaceDE/>
        <w:autoSpaceDN/>
        <w:adjustRightInd/>
        <w:ind w:left="360" w:firstLine="0"/>
        <w:rPr>
          <w:rFonts w:asciiTheme="minorHAnsi" w:hAnsiTheme="minorHAnsi"/>
          <w:color w:val="auto"/>
        </w:rPr>
      </w:pPr>
      <w:r w:rsidRPr="005113E1">
        <w:rPr>
          <w:rFonts w:asciiTheme="minorHAnsi" w:hAnsiTheme="minorHAnsi"/>
          <w:color w:val="auto"/>
        </w:rPr>
        <w:lastRenderedPageBreak/>
        <w:t>Unit auxiliary transformer(s) (UAT) that supply overall auxiliary po</w:t>
      </w:r>
      <w:r w:rsidR="00E556DC">
        <w:rPr>
          <w:rFonts w:asciiTheme="minorHAnsi" w:hAnsiTheme="minorHAnsi"/>
          <w:color w:val="auto"/>
        </w:rPr>
        <w:t>w</w:t>
      </w:r>
      <w:r w:rsidRPr="005113E1">
        <w:rPr>
          <w:rFonts w:asciiTheme="minorHAnsi" w:hAnsiTheme="minorHAnsi"/>
          <w:color w:val="auto"/>
        </w:rPr>
        <w:t>er necessary to keep generating unit(s) online.</w:t>
      </w:r>
      <w:r>
        <w:rPr>
          <w:rStyle w:val="FootnoteReference"/>
          <w:rFonts w:asciiTheme="minorHAnsi" w:hAnsiTheme="minorHAnsi"/>
          <w:color w:val="auto"/>
        </w:rPr>
        <w:footnoteReference w:id="4"/>
      </w:r>
    </w:p>
    <w:p w14:paraId="5320BFBD" w14:textId="4D8DEE03" w:rsidR="005113E1" w:rsidRPr="005113E1" w:rsidRDefault="005113E1" w:rsidP="005113E1">
      <w:pPr>
        <w:pStyle w:val="ListParagraph"/>
        <w:numPr>
          <w:ilvl w:val="0"/>
          <w:numId w:val="33"/>
        </w:numPr>
        <w:tabs>
          <w:tab w:val="left" w:pos="630"/>
        </w:tabs>
        <w:autoSpaceDE/>
        <w:autoSpaceDN/>
        <w:adjustRightInd/>
        <w:ind w:left="360" w:firstLine="0"/>
        <w:rPr>
          <w:rFonts w:asciiTheme="minorHAnsi" w:hAnsiTheme="minorHAnsi"/>
          <w:color w:val="auto"/>
        </w:rPr>
      </w:pPr>
      <w:r w:rsidRPr="005113E1">
        <w:rPr>
          <w:rFonts w:asciiTheme="minorHAnsi" w:hAnsiTheme="minorHAnsi"/>
          <w:color w:val="auto"/>
        </w:rPr>
        <w:t>Elements that connect the GSU transformer(s) to the Transmission system that are used exclusively to export energy directly from a BES generating unit or generating plant. Elements may also supply generating plant loads.</w:t>
      </w:r>
    </w:p>
    <w:p w14:paraId="6CD54A3D" w14:textId="2249A81B" w:rsidR="005113E1" w:rsidRDefault="005113E1" w:rsidP="005113E1">
      <w:pPr>
        <w:pStyle w:val="ListParagraph"/>
        <w:numPr>
          <w:ilvl w:val="0"/>
          <w:numId w:val="33"/>
        </w:numPr>
        <w:tabs>
          <w:tab w:val="left" w:pos="630"/>
        </w:tabs>
        <w:autoSpaceDE/>
        <w:autoSpaceDN/>
        <w:adjustRightInd/>
        <w:ind w:left="360" w:firstLine="0"/>
        <w:rPr>
          <w:rFonts w:asciiTheme="minorHAnsi" w:hAnsiTheme="minorHAnsi"/>
          <w:color w:val="auto"/>
        </w:rPr>
      </w:pPr>
      <w:r w:rsidRPr="005113E1">
        <w:rPr>
          <w:rFonts w:asciiTheme="minorHAnsi" w:hAnsiTheme="minorHAnsi"/>
          <w:color w:val="auto"/>
        </w:rPr>
        <w:t xml:space="preserve">Elements utilized in the aggregation of dispersed power </w:t>
      </w:r>
      <w:r w:rsidR="00822A81" w:rsidRPr="005113E1">
        <w:rPr>
          <w:rFonts w:asciiTheme="minorHAnsi" w:hAnsiTheme="minorHAnsi"/>
          <w:color w:val="auto"/>
        </w:rPr>
        <w:t>producing</w:t>
      </w:r>
      <w:r w:rsidRPr="005113E1">
        <w:rPr>
          <w:rFonts w:asciiTheme="minorHAnsi" w:hAnsiTheme="minorHAnsi"/>
          <w:color w:val="auto"/>
        </w:rPr>
        <w:t xml:space="preserve"> resources.</w:t>
      </w:r>
    </w:p>
    <w:p w14:paraId="3C1C3307" w14:textId="77777777" w:rsidR="005113E1" w:rsidRPr="005113E1" w:rsidRDefault="005113E1" w:rsidP="005113E1">
      <w:pPr>
        <w:pStyle w:val="ListParagraph"/>
        <w:autoSpaceDE/>
        <w:autoSpaceDN/>
        <w:adjustRightInd/>
        <w:ind w:left="360"/>
        <w:rPr>
          <w:rFonts w:asciiTheme="minorHAnsi" w:hAnsiTheme="minorHAnsi"/>
          <w:color w:val="auto"/>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965A4F">
        <w:tc>
          <w:tcPr>
            <w:tcW w:w="735" w:type="dxa"/>
            <w:tcBorders>
              <w:bottom w:val="single" w:sz="4" w:space="0" w:color="auto"/>
            </w:tcBorders>
            <w:shd w:val="clear" w:color="auto" w:fill="DCDCFF"/>
          </w:tcPr>
          <w:p w14:paraId="74A72C6D"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22" w:type="dxa"/>
            <w:shd w:val="clear" w:color="auto" w:fill="DCDCFF"/>
          </w:tcPr>
          <w:p w14:paraId="4C603DA5"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139" w:type="dxa"/>
            <w:shd w:val="clear" w:color="auto" w:fill="DCDCFF"/>
          </w:tcPr>
          <w:p w14:paraId="2329BA16"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494" w:type="dxa"/>
            <w:shd w:val="clear" w:color="auto" w:fill="DCDCFF"/>
          </w:tcPr>
          <w:p w14:paraId="12D49AFD"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965A4F">
        <w:tc>
          <w:tcPr>
            <w:tcW w:w="735"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22" w:type="dxa"/>
          </w:tcPr>
          <w:p w14:paraId="6EBD9CB2" w14:textId="77777777" w:rsidR="003E1E03" w:rsidRPr="00705BB3" w:rsidRDefault="003E1E03" w:rsidP="00F80464">
            <w:pPr>
              <w:widowControl w:val="0"/>
              <w:rPr>
                <w:rFonts w:asciiTheme="minorHAnsi" w:hAnsiTheme="minorHAnsi" w:cs="Times New Roman"/>
                <w:bCs/>
                <w:color w:val="auto"/>
                <w:sz w:val="22"/>
                <w:szCs w:val="22"/>
              </w:rPr>
            </w:pPr>
          </w:p>
        </w:tc>
        <w:tc>
          <w:tcPr>
            <w:tcW w:w="6139" w:type="dxa"/>
          </w:tcPr>
          <w:p w14:paraId="7B313D07" w14:textId="77777777" w:rsidR="003E1E03" w:rsidRPr="00705BB3" w:rsidRDefault="003E1E03" w:rsidP="00F80464">
            <w:pPr>
              <w:widowControl w:val="0"/>
              <w:rPr>
                <w:rFonts w:asciiTheme="minorHAnsi" w:hAnsiTheme="minorHAnsi" w:cs="Times New Roman"/>
                <w:bCs/>
                <w:color w:val="auto"/>
                <w:sz w:val="22"/>
                <w:szCs w:val="22"/>
              </w:rPr>
            </w:pPr>
          </w:p>
        </w:tc>
        <w:tc>
          <w:tcPr>
            <w:tcW w:w="2494" w:type="dxa"/>
          </w:tcPr>
          <w:p w14:paraId="2AFF2E67" w14:textId="77777777" w:rsidR="003E1E03" w:rsidRPr="00705BB3" w:rsidRDefault="003E1E03" w:rsidP="00F80464">
            <w:pPr>
              <w:widowControl w:val="0"/>
              <w:rPr>
                <w:rFonts w:asciiTheme="minorHAnsi" w:hAnsiTheme="minorHAnsi" w:cs="Times New Roman"/>
                <w:bCs/>
                <w:color w:val="auto"/>
                <w:sz w:val="22"/>
                <w:szCs w:val="22"/>
              </w:rPr>
            </w:pPr>
          </w:p>
        </w:tc>
      </w:tr>
    </w:tbl>
    <w:p w14:paraId="7E3A382B" w14:textId="77777777" w:rsidR="00866825" w:rsidRPr="006C43BC" w:rsidRDefault="00866825" w:rsidP="003E1E03">
      <w:pPr>
        <w:widowControl w:val="0"/>
        <w:rPr>
          <w:rFonts w:asciiTheme="minorHAnsi" w:hAnsiTheme="minorHAnsi" w:cs="Times New Roman"/>
          <w:b/>
          <w:bCs/>
          <w:color w:val="264D74"/>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F80464">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F80464">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F80464">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F80464">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F80464">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F80464">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F80464">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F80464">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737705">
        <w:tc>
          <w:tcPr>
            <w:tcW w:w="738" w:type="dxa"/>
            <w:shd w:val="clear" w:color="auto" w:fill="DCDCFF"/>
          </w:tcPr>
          <w:p w14:paraId="1705AC1E"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737705">
        <w:tc>
          <w:tcPr>
            <w:tcW w:w="738" w:type="dxa"/>
          </w:tcPr>
          <w:p w14:paraId="5B0DDD23"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3F9C165E" w14:textId="77777777" w:rsidTr="00737705">
        <w:tc>
          <w:tcPr>
            <w:tcW w:w="738" w:type="dxa"/>
          </w:tcPr>
          <w:p w14:paraId="380628B4"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62C2AA85" w14:textId="77777777" w:rsidTr="00737705">
        <w:tc>
          <w:tcPr>
            <w:tcW w:w="738" w:type="dxa"/>
          </w:tcPr>
          <w:p w14:paraId="6212F2C8"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737705">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737705">
        <w:tc>
          <w:tcPr>
            <w:tcW w:w="738" w:type="dxa"/>
            <w:shd w:val="clear" w:color="auto" w:fill="DCDCFF"/>
          </w:tcPr>
          <w:p w14:paraId="6DDF3CDD"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737705">
        <w:tc>
          <w:tcPr>
            <w:tcW w:w="738" w:type="dxa"/>
          </w:tcPr>
          <w:p w14:paraId="045FC0FC"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4FB9D4F5" w14:textId="77777777" w:rsidTr="00737705">
        <w:tc>
          <w:tcPr>
            <w:tcW w:w="738" w:type="dxa"/>
          </w:tcPr>
          <w:p w14:paraId="119DFDBE"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710E0EA1" w14:textId="77777777" w:rsidTr="00737705">
        <w:tc>
          <w:tcPr>
            <w:tcW w:w="738" w:type="dxa"/>
          </w:tcPr>
          <w:p w14:paraId="272BA52E"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737705">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1"/>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3"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3"/>
    </w:p>
    <w:p w14:paraId="76C77FD0" w14:textId="1EFFEBAF" w:rsidR="00965A4F" w:rsidRPr="004D55C0" w:rsidRDefault="00965A4F" w:rsidP="00965A4F">
      <w:pPr>
        <w:spacing w:before="120"/>
        <w:rPr>
          <w:rFonts w:asciiTheme="minorHAnsi" w:hAnsiTheme="minorHAnsi" w:cs="Times New Roman"/>
          <w:color w:val="auto"/>
        </w:rPr>
      </w:pPr>
      <w:r w:rsidRPr="004D55C0">
        <w:rPr>
          <w:rFonts w:asciiTheme="minorHAnsi" w:hAnsiTheme="minorHAnsi" w:cs="Times New Roman"/>
          <w:b/>
          <w:bCs/>
          <w:color w:val="auto"/>
        </w:rPr>
        <w:t xml:space="preserve">R1. </w:t>
      </w:r>
      <w:r w:rsidRPr="004D55C0">
        <w:rPr>
          <w:rFonts w:asciiTheme="minorHAnsi" w:hAnsiTheme="minorHAnsi" w:cs="Times New Roman"/>
          <w:color w:val="auto"/>
        </w:rPr>
        <w:t>Each Generator Owner</w:t>
      </w:r>
      <w:r w:rsidR="004D55C0">
        <w:rPr>
          <w:rFonts w:asciiTheme="minorHAnsi" w:hAnsiTheme="minorHAnsi" w:cs="Times New Roman"/>
          <w:color w:val="auto"/>
        </w:rPr>
        <w:t>, Transmission Owner, and Distribution Provider</w:t>
      </w:r>
      <w:r w:rsidRPr="004D55C0">
        <w:rPr>
          <w:rFonts w:asciiTheme="minorHAnsi" w:hAnsiTheme="minorHAnsi" w:cs="Times New Roman"/>
          <w:color w:val="auto"/>
        </w:rPr>
        <w:t xml:space="preserve"> shall apply settings that are in accordance with PRC-025-1 – Attachment 1:  Relay Settings, on each load-responsive protective relay while maintaining reliable fault protection. </w:t>
      </w:r>
    </w:p>
    <w:p w14:paraId="2836BD80" w14:textId="77777777" w:rsidR="00680C03" w:rsidRPr="004D55C0" w:rsidRDefault="00680C03" w:rsidP="00680C03">
      <w:pPr>
        <w:rPr>
          <w:rFonts w:asciiTheme="minorHAnsi" w:hAnsiTheme="minorHAnsi" w:cs="Times New Roman"/>
          <w:b/>
        </w:rPr>
      </w:pPr>
    </w:p>
    <w:p w14:paraId="57109D68" w14:textId="45B07EDE" w:rsidR="00895015" w:rsidRPr="004D55C0" w:rsidRDefault="00895015" w:rsidP="004D55C0">
      <w:pPr>
        <w:pStyle w:val="RequirementText"/>
        <w:ind w:left="0" w:firstLine="0"/>
        <w:rPr>
          <w:b/>
          <w:bCs/>
          <w:sz w:val="24"/>
          <w:szCs w:val="24"/>
        </w:rPr>
      </w:pPr>
      <w:r w:rsidRPr="004D55C0">
        <w:rPr>
          <w:b/>
          <w:bCs/>
          <w:sz w:val="24"/>
          <w:szCs w:val="24"/>
        </w:rPr>
        <w:t>M1.</w:t>
      </w:r>
      <w:r w:rsidRPr="004D55C0">
        <w:rPr>
          <w:b/>
          <w:bCs/>
          <w:sz w:val="24"/>
          <w:szCs w:val="24"/>
        </w:rPr>
        <w:tab/>
      </w:r>
      <w:r w:rsidR="004D55C0" w:rsidRPr="004D55C0">
        <w:rPr>
          <w:sz w:val="24"/>
          <w:szCs w:val="24"/>
        </w:rPr>
        <w:t>For each load-responsive protective relay, each Generator Owner, Transmission Owner, and Distribution Provider shall have evidence (e.g., summaries of calculations, spreadsheets, simulation reports, or setting sheets) that settings were applied in accordance with PRC-025-1 – Attachment 1: Relay Settings.</w:t>
      </w:r>
    </w:p>
    <w:p w14:paraId="33738AAE" w14:textId="77777777" w:rsidR="00895015" w:rsidRPr="006C43BC" w:rsidRDefault="00895015" w:rsidP="00680C03">
      <w:pPr>
        <w:rPr>
          <w:rFonts w:asciiTheme="minorHAnsi" w:hAnsiTheme="minorHAnsi" w:cs="Times New Roman"/>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59CDC558"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695D05C" w14:textId="77777777" w:rsidR="00C1568A" w:rsidRPr="006C43BC" w:rsidRDefault="00C1568A" w:rsidP="00C1568A">
      <w:pPr>
        <w:widowControl w:val="0"/>
        <w:spacing w:line="266" w:lineRule="exact"/>
        <w:rPr>
          <w:rFonts w:asciiTheme="minorHAnsi" w:hAnsiTheme="minorHAnsi" w:cs="Times New Roman"/>
          <w:b/>
          <w:bCs/>
        </w:rPr>
      </w:pPr>
    </w:p>
    <w:p w14:paraId="5C673176"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4B17561A" w14:textId="77777777" w:rsidTr="009F2DDE">
        <w:tc>
          <w:tcPr>
            <w:tcW w:w="10790" w:type="dxa"/>
            <w:shd w:val="clear" w:color="auto" w:fill="DCDCFF"/>
          </w:tcPr>
          <w:p w14:paraId="7DE1661D"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465C2D" w:rsidRPr="00676D1E" w14:paraId="2BDC7D8A" w14:textId="77777777" w:rsidTr="009F2DDE">
        <w:tc>
          <w:tcPr>
            <w:tcW w:w="10790" w:type="dxa"/>
            <w:shd w:val="clear" w:color="auto" w:fill="DCDCFF"/>
          </w:tcPr>
          <w:p w14:paraId="78F360FB" w14:textId="66F1CA41" w:rsidR="00465C2D" w:rsidRDefault="00465C2D" w:rsidP="003A0303">
            <w:pPr>
              <w:widowControl w:val="0"/>
              <w:jc w:val="both"/>
              <w:rPr>
                <w:rFonts w:asciiTheme="minorHAnsi" w:hAnsiTheme="minorHAnsi" w:cs="Times New Roman"/>
                <w:color w:val="auto"/>
              </w:rPr>
            </w:pPr>
            <w:r>
              <w:rPr>
                <w:rFonts w:asciiTheme="minorHAnsi" w:hAnsiTheme="minorHAnsi" w:cs="Times New Roman"/>
                <w:color w:val="auto"/>
              </w:rPr>
              <w:t>A list of all load-responsive protective relays.</w:t>
            </w:r>
          </w:p>
        </w:tc>
      </w:tr>
      <w:tr w:rsidR="00BF371A" w:rsidRPr="00676D1E" w14:paraId="4903CC69" w14:textId="77777777" w:rsidTr="009F2DDE">
        <w:tc>
          <w:tcPr>
            <w:tcW w:w="10790" w:type="dxa"/>
            <w:shd w:val="clear" w:color="auto" w:fill="DCDCFF"/>
          </w:tcPr>
          <w:p w14:paraId="594F0F1E" w14:textId="7D670AE4" w:rsidR="00BF371A" w:rsidRDefault="00361ECD" w:rsidP="003A0303">
            <w:pPr>
              <w:widowControl w:val="0"/>
              <w:jc w:val="both"/>
              <w:rPr>
                <w:rFonts w:asciiTheme="minorHAnsi" w:hAnsiTheme="minorHAnsi" w:cs="Times New Roman"/>
                <w:color w:val="auto"/>
              </w:rPr>
            </w:pPr>
            <w:r>
              <w:rPr>
                <w:rFonts w:asciiTheme="minorHAnsi" w:hAnsiTheme="minorHAnsi" w:cs="Times New Roman"/>
                <w:color w:val="auto"/>
              </w:rPr>
              <w:t>Summaries of calculations, spread</w:t>
            </w:r>
            <w:r w:rsidR="009F2DDE">
              <w:rPr>
                <w:rFonts w:asciiTheme="minorHAnsi" w:hAnsiTheme="minorHAnsi" w:cs="Times New Roman"/>
                <w:color w:val="auto"/>
              </w:rPr>
              <w:t xml:space="preserve">sheets, simulation reports, settings sheets, or other evidence that settings </w:t>
            </w:r>
            <w:r w:rsidR="002951AC">
              <w:rPr>
                <w:rFonts w:asciiTheme="minorHAnsi" w:hAnsiTheme="minorHAnsi" w:cs="Times New Roman"/>
                <w:color w:val="auto"/>
              </w:rPr>
              <w:t xml:space="preserve">for each load responsive relay </w:t>
            </w:r>
            <w:r w:rsidR="009F2DDE">
              <w:rPr>
                <w:rFonts w:asciiTheme="minorHAnsi" w:hAnsiTheme="minorHAnsi" w:cs="Times New Roman"/>
                <w:color w:val="auto"/>
              </w:rPr>
              <w:t>were applied in accordance with PRC-025-1 – Attachment 1: Relay Settings.</w:t>
            </w:r>
          </w:p>
        </w:tc>
      </w:tr>
    </w:tbl>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0B66BC">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0B66BC">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0B66BC">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75317EB9"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9F2DDE">
        <w:t>PRC-025-1</w:t>
      </w:r>
      <w:r w:rsidRPr="00F548BE">
        <w:t>,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787711CF" w14:textId="77777777" w:rsidTr="009F2DDE">
        <w:tc>
          <w:tcPr>
            <w:tcW w:w="374" w:type="dxa"/>
          </w:tcPr>
          <w:p w14:paraId="10CC5FD1" w14:textId="77777777" w:rsidR="00C1568A" w:rsidRPr="00705BB3" w:rsidRDefault="00C1568A" w:rsidP="000B66BC">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B8495E4" w14:textId="52E4853B" w:rsidR="00C1568A" w:rsidRPr="009F2DDE" w:rsidRDefault="009F2DDE" w:rsidP="000B66B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(R1) For all, or a sample of, load-responsive protective relays, examine evidence and verify the following:</w:t>
            </w:r>
          </w:p>
        </w:tc>
      </w:tr>
      <w:tr w:rsidR="00C1568A" w:rsidRPr="00705BB3" w14:paraId="6BE36A13" w14:textId="77777777" w:rsidTr="009F2DDE">
        <w:tc>
          <w:tcPr>
            <w:tcW w:w="374" w:type="dxa"/>
          </w:tcPr>
          <w:p w14:paraId="0AF32511" w14:textId="77777777" w:rsidR="00C1568A" w:rsidRPr="00705BB3" w:rsidRDefault="00C1568A" w:rsidP="000B66BC">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CE1C230" w14:textId="773F7E52" w:rsidR="00C1568A" w:rsidRPr="009F2DDE" w:rsidRDefault="009F2DDE" w:rsidP="009F2DDE">
            <w:pPr>
              <w:pStyle w:val="ListParagraph"/>
              <w:widowControl w:val="0"/>
              <w:numPr>
                <w:ilvl w:val="0"/>
                <w:numId w:val="34"/>
              </w:numPr>
              <w:tabs>
                <w:tab w:val="left" w:pos="413"/>
                <w:tab w:val="left" w:pos="900"/>
                <w:tab w:val="left" w:pos="6360"/>
              </w:tabs>
              <w:rPr>
                <w:rFonts w:asciiTheme="minorHAnsi" w:hAnsiTheme="minorHAnsi" w:cs="Times New Roman"/>
                <w:color w:val="auto"/>
              </w:rPr>
            </w:pPr>
            <w:r w:rsidRPr="009F2DDE">
              <w:rPr>
                <w:rFonts w:asciiTheme="minorHAnsi" w:hAnsiTheme="minorHAnsi" w:cs="Times New Roman"/>
                <w:color w:val="auto"/>
              </w:rPr>
              <w:t>Entity used appropriate elements from PRC-025-1 – Attachment 1: Relay Settings, and that the evidence identifies the criteria in Table 1 (e.g., application, relay type, option, voltage, Real Power, Reactive Power, and Pick up setting).</w:t>
            </w:r>
          </w:p>
        </w:tc>
      </w:tr>
      <w:tr w:rsidR="00C1568A" w:rsidRPr="00705BB3" w14:paraId="32107441" w14:textId="77777777" w:rsidTr="009F2DDE">
        <w:tc>
          <w:tcPr>
            <w:tcW w:w="374" w:type="dxa"/>
          </w:tcPr>
          <w:p w14:paraId="0E69556A" w14:textId="77777777" w:rsidR="00C1568A" w:rsidRPr="00705BB3" w:rsidRDefault="00C1568A" w:rsidP="000B66BC">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9FE7662" w14:textId="42B29606" w:rsidR="00C1568A" w:rsidRPr="009F2DDE" w:rsidRDefault="009F2DDE" w:rsidP="009F2DDE">
            <w:pPr>
              <w:pStyle w:val="ListParagraph"/>
              <w:widowControl w:val="0"/>
              <w:numPr>
                <w:ilvl w:val="0"/>
                <w:numId w:val="34"/>
              </w:numPr>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Entity applied the settings consistent with the criteria according to PRC-025-1 – Attachment 1:</w:t>
            </w:r>
            <w:r w:rsidR="00121BAB">
              <w:rPr>
                <w:rFonts w:asciiTheme="minorHAnsi" w:hAnsiTheme="minorHAnsi" w:cs="Times New Roman"/>
                <w:color w:val="auto"/>
              </w:rPr>
              <w:t xml:space="preserve"> Relay Settings</w:t>
            </w:r>
          </w:p>
        </w:tc>
      </w:tr>
      <w:tr w:rsidR="00C1568A" w:rsidRPr="006C43BC" w14:paraId="431903D7" w14:textId="77777777" w:rsidTr="009F2DDE">
        <w:tc>
          <w:tcPr>
            <w:tcW w:w="10790" w:type="dxa"/>
            <w:gridSpan w:val="2"/>
            <w:shd w:val="clear" w:color="auto" w:fill="DCDCFF"/>
          </w:tcPr>
          <w:p w14:paraId="70568AD5" w14:textId="5FE753E4" w:rsidR="00C1568A" w:rsidRPr="006C43BC" w:rsidRDefault="00C1568A" w:rsidP="0026265C">
            <w:pPr>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65C2D">
              <w:rPr>
                <w:rFonts w:asciiTheme="minorHAnsi" w:hAnsiTheme="minorHAnsi" w:cs="Times New Roman"/>
                <w:bCs/>
                <w:color w:val="auto"/>
              </w:rPr>
              <w:t>O</w:t>
            </w:r>
            <w:r w:rsidR="002951AC">
              <w:rPr>
                <w:rFonts w:asciiTheme="minorHAnsi" w:hAnsiTheme="minorHAnsi" w:cs="Times New Roman"/>
                <w:bCs/>
                <w:color w:val="auto"/>
              </w:rPr>
              <w:t>wnership of</w:t>
            </w:r>
            <w:r w:rsidR="002951AC" w:rsidRPr="008B56FB">
              <w:rPr>
                <w:rFonts w:asciiTheme="minorHAnsi" w:hAnsiTheme="minorHAnsi"/>
                <w:sz w:val="16"/>
                <w:szCs w:val="16"/>
              </w:rPr>
              <w:t xml:space="preserve"> </w:t>
            </w:r>
            <w:r w:rsidR="002951AC" w:rsidRPr="002951AC">
              <w:rPr>
                <w:rFonts w:asciiTheme="minorHAnsi" w:hAnsiTheme="minorHAnsi" w:cs="Times New Roman"/>
                <w:bCs/>
                <w:color w:val="auto"/>
              </w:rPr>
              <w:t>load-responsive protective relays</w:t>
            </w:r>
            <w:r w:rsidR="00465C2D">
              <w:rPr>
                <w:rFonts w:asciiTheme="minorHAnsi" w:hAnsiTheme="minorHAnsi" w:cs="Times New Roman"/>
                <w:bCs/>
                <w:color w:val="auto"/>
              </w:rPr>
              <w:t xml:space="preserve"> is determined</w:t>
            </w:r>
            <w:r w:rsidR="002951AC" w:rsidRPr="002951AC">
              <w:rPr>
                <w:rFonts w:asciiTheme="minorHAnsi" w:hAnsiTheme="minorHAnsi" w:cs="Times New Roman"/>
                <w:bCs/>
                <w:color w:val="auto"/>
              </w:rPr>
              <w:t xml:space="preserve"> at the terminals of the Elements listed in Facilities</w:t>
            </w:r>
            <w:r w:rsidR="002951AC">
              <w:rPr>
                <w:rFonts w:asciiTheme="minorHAnsi" w:hAnsiTheme="minorHAnsi" w:cs="Times New Roman"/>
                <w:bCs/>
                <w:color w:val="auto"/>
              </w:rPr>
              <w:t xml:space="preserve"> sect</w:t>
            </w:r>
            <w:r w:rsidR="00D00C14">
              <w:rPr>
                <w:rFonts w:asciiTheme="minorHAnsi" w:hAnsiTheme="minorHAnsi" w:cs="Times New Roman"/>
                <w:bCs/>
                <w:color w:val="auto"/>
              </w:rPr>
              <w:t>ion</w:t>
            </w:r>
            <w:r w:rsidR="000F59A8">
              <w:rPr>
                <w:rFonts w:asciiTheme="minorHAnsi" w:hAnsiTheme="minorHAnsi" w:cs="Times New Roman"/>
                <w:bCs/>
                <w:color w:val="auto"/>
              </w:rPr>
              <w:t>. Determine applicability of relay protection el</w:t>
            </w:r>
            <w:r w:rsidR="00A07773">
              <w:rPr>
                <w:rFonts w:asciiTheme="minorHAnsi" w:hAnsiTheme="minorHAnsi" w:cs="Times New Roman"/>
                <w:bCs/>
                <w:color w:val="auto"/>
              </w:rPr>
              <w:t xml:space="preserve">ements as detailed in PRC-025-1 – Attachment 1, Relay Settings. </w:t>
            </w:r>
            <w:r w:rsidR="002951AC" w:rsidRPr="002951AC">
              <w:rPr>
                <w:rFonts w:asciiTheme="minorHAnsi" w:hAnsiTheme="minorHAnsi" w:cs="Times New Roman"/>
                <w:bCs/>
                <w:color w:val="auto"/>
              </w:rPr>
              <w:t>The term, “while maintaining reliable fault protection” in Requirement R1 describes that the responsible entity is to comply with this standard while achieving their desired protection goals</w:t>
            </w:r>
            <w:r w:rsidR="00465C2D">
              <w:rPr>
                <w:rFonts w:asciiTheme="minorHAnsi" w:hAnsiTheme="minorHAnsi" w:cs="Times New Roman"/>
                <w:bCs/>
                <w:color w:val="auto"/>
              </w:rPr>
              <w:t>.</w:t>
            </w: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507E6D" w14:textId="77777777" w:rsidR="003C20AB" w:rsidRPr="008F56D6" w:rsidRDefault="009E11CF" w:rsidP="007D62B4">
      <w:pPr>
        <w:pStyle w:val="SectHead"/>
      </w:pPr>
      <w:bookmarkStart w:id="4" w:name="_Toc330463564"/>
      <w:r w:rsidRPr="002A01BD">
        <w:lastRenderedPageBreak/>
        <w:t>Additional</w:t>
      </w:r>
      <w:r w:rsidR="003C20AB" w:rsidRPr="002A01BD">
        <w:t xml:space="preserve"> I</w:t>
      </w:r>
      <w:r w:rsidR="00047231" w:rsidRPr="002A01BD">
        <w:t>n</w:t>
      </w:r>
      <w:r w:rsidR="00353E3C" w:rsidRPr="002A01BD">
        <w:t>formation</w:t>
      </w:r>
      <w:bookmarkEnd w:id="4"/>
      <w:r w:rsidR="00FD4903" w:rsidRPr="002A01BD">
        <w:t>:</w:t>
      </w:r>
    </w:p>
    <w:p w14:paraId="790EE5B3" w14:textId="647F9372" w:rsidR="007E0126" w:rsidRPr="006C43BC" w:rsidRDefault="007E0126">
      <w:pPr>
        <w:autoSpaceDE/>
        <w:autoSpaceDN/>
        <w:adjustRightInd/>
        <w:rPr>
          <w:rFonts w:asciiTheme="minorHAnsi" w:hAnsiTheme="minorHAnsi"/>
        </w:rPr>
      </w:pPr>
    </w:p>
    <w:p w14:paraId="4B8EF684" w14:textId="77777777" w:rsidR="00CC7E3E" w:rsidRPr="006C43BC" w:rsidRDefault="00CC7E3E" w:rsidP="00D97E2A">
      <w:pPr>
        <w:pStyle w:val="SubHead"/>
      </w:pPr>
      <w:bookmarkStart w:id="5" w:name="_Toc330463565"/>
      <w:r w:rsidRPr="006C43BC">
        <w:rPr>
          <w:rStyle w:val="SubtitleChar"/>
          <w:rFonts w:asciiTheme="minorHAnsi" w:hAnsiTheme="minorHAnsi" w:cs="Tahoma"/>
          <w:i w:val="0"/>
          <w:color w:val="auto"/>
        </w:rPr>
        <w:t>Reliability Standard</w:t>
      </w:r>
    </w:p>
    <w:p w14:paraId="469414C6" w14:textId="1C82BAF7" w:rsidR="00CC7E3E" w:rsidRDefault="003057A4" w:rsidP="00CC7E3E">
      <w:pPr>
        <w:rPr>
          <w:rFonts w:asciiTheme="minorHAnsi" w:hAnsiTheme="minorHAnsi"/>
        </w:rPr>
      </w:pPr>
      <w:r>
        <w:rPr>
          <w:rFonts w:asciiTheme="minorHAnsi" w:hAnsiTheme="minorHAnsi"/>
        </w:rPr>
        <w:object w:dxaOrig="1531" w:dyaOrig="990" w14:anchorId="2F990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49.55pt" o:ole="">
            <v:imagedata r:id="rId13" o:title=""/>
          </v:shape>
          <o:OLEObject Type="Embed" ProgID="Acrobat.Document.11" ShapeID="_x0000_i1025" DrawAspect="Icon" ObjectID="_1493016227" r:id="rId14"/>
        </w:object>
      </w:r>
    </w:p>
    <w:p w14:paraId="39EDBC35" w14:textId="026A4587" w:rsidR="00567642" w:rsidRPr="007A379C" w:rsidRDefault="00567642" w:rsidP="007A379C">
      <w:pPr>
        <w:pStyle w:val="AuthorNote"/>
        <w:rPr>
          <w:i/>
        </w:rPr>
      </w:pPr>
      <w:r w:rsidRPr="007A379C">
        <w:rPr>
          <w:i/>
        </w:rPr>
        <w:t>.</w:t>
      </w:r>
    </w:p>
    <w:p w14:paraId="705A13A5" w14:textId="21576D56" w:rsidR="00ED6C9C" w:rsidRDefault="00ED6C9C" w:rsidP="00CC7E3E">
      <w:pPr>
        <w:rPr>
          <w:rFonts w:asciiTheme="minorHAnsi" w:hAnsiTheme="minorHAnsi"/>
        </w:rPr>
      </w:pPr>
      <w:r>
        <w:rPr>
          <w:rFonts w:asciiTheme="minorHAnsi" w:hAnsiTheme="minorHAnsi"/>
        </w:rPr>
        <w:t xml:space="preserve">The full text of </w:t>
      </w:r>
      <w:r w:rsidR="003057A4">
        <w:rPr>
          <w:rFonts w:asciiTheme="minorHAnsi" w:hAnsiTheme="minorHAnsi"/>
        </w:rPr>
        <w:t>PRC</w:t>
      </w:r>
      <w:r>
        <w:rPr>
          <w:rFonts w:asciiTheme="minorHAnsi" w:hAnsiTheme="minorHAnsi"/>
        </w:rPr>
        <w:t>-0</w:t>
      </w:r>
      <w:r w:rsidR="003057A4">
        <w:rPr>
          <w:rFonts w:asciiTheme="minorHAnsi" w:hAnsiTheme="minorHAnsi"/>
        </w:rPr>
        <w:t>25</w:t>
      </w:r>
      <w:r>
        <w:rPr>
          <w:rFonts w:asciiTheme="minorHAnsi" w:hAnsiTheme="minorHAnsi"/>
        </w:rPr>
        <w:t>-</w:t>
      </w:r>
      <w:r w:rsidR="003057A4">
        <w:rPr>
          <w:rFonts w:asciiTheme="minorHAnsi" w:hAnsiTheme="minorHAnsi"/>
        </w:rPr>
        <w:t>1</w:t>
      </w:r>
      <w:r>
        <w:rPr>
          <w:rFonts w:asciiTheme="minorHAnsi" w:hAnsiTheme="minorHAnsi"/>
        </w:rPr>
        <w:t xml:space="preserve"> may be found on the NERC Web Site (</w:t>
      </w:r>
      <w:r w:rsidRPr="00ED6C9C">
        <w:rPr>
          <w:rFonts w:asciiTheme="minorHAnsi" w:hAnsiTheme="minorHAnsi"/>
        </w:rPr>
        <w:t>www.nerc.com</w:t>
      </w:r>
      <w:r>
        <w:rPr>
          <w:rFonts w:asciiTheme="minorHAnsi" w:hAnsiTheme="minorHAnsi"/>
        </w:rPr>
        <w:t>) under “Program Areas &amp; Departments”, “Reliability Standards.”</w:t>
      </w:r>
    </w:p>
    <w:p w14:paraId="4AB08B57" w14:textId="77777777" w:rsidR="00567642" w:rsidRDefault="00567642" w:rsidP="00CC7E3E">
      <w:pPr>
        <w:rPr>
          <w:rFonts w:asciiTheme="minorHAnsi" w:hAnsiTheme="minorHAnsi"/>
        </w:rPr>
      </w:pPr>
    </w:p>
    <w:p w14:paraId="71DE5FBF" w14:textId="77777777" w:rsidR="00567642" w:rsidRDefault="00567642" w:rsidP="00CC7E3E">
      <w:pPr>
        <w:rPr>
          <w:rFonts w:asciiTheme="minorHAnsi" w:hAnsiTheme="minorHAnsi"/>
        </w:rPr>
      </w:pPr>
      <w:r>
        <w:rPr>
          <w:rFonts w:asciiTheme="minorHAnsi" w:hAnsiTheme="minorHAnsi"/>
        </w:rPr>
        <w:t>In addition to the Reliability Standard, there is an applicable Implementation Plan available on the NERC Web Site.</w:t>
      </w:r>
    </w:p>
    <w:p w14:paraId="7B0C05BD" w14:textId="77777777" w:rsidR="00567642" w:rsidRDefault="00567642" w:rsidP="00CC7E3E">
      <w:pPr>
        <w:rPr>
          <w:rFonts w:asciiTheme="minorHAnsi" w:hAnsiTheme="minorHAnsi"/>
        </w:rPr>
      </w:pPr>
    </w:p>
    <w:p w14:paraId="17451E78"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51AEB058" w14:textId="77777777" w:rsidR="007A379C" w:rsidRDefault="007A379C" w:rsidP="00CC7E3E">
      <w:pPr>
        <w:rPr>
          <w:rFonts w:asciiTheme="minorHAnsi" w:hAnsiTheme="minorHAnsi"/>
        </w:rPr>
      </w:pPr>
    </w:p>
    <w:p w14:paraId="35AFF623" w14:textId="77777777" w:rsidR="00567642" w:rsidRDefault="00567642" w:rsidP="00CC7E3E">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3A827235" w14:textId="77777777" w:rsidR="00ED6C9C" w:rsidRPr="006C43BC" w:rsidRDefault="00ED6C9C" w:rsidP="00CC7E3E">
      <w:pPr>
        <w:rPr>
          <w:rFonts w:asciiTheme="minorHAnsi" w:hAnsiTheme="minorHAnsi"/>
        </w:rPr>
      </w:pPr>
    </w:p>
    <w:p w14:paraId="39643EC2" w14:textId="7D1D18AA" w:rsidR="00490283" w:rsidRPr="006C43BC" w:rsidRDefault="00490283" w:rsidP="00D97E2A">
      <w:pPr>
        <w:pStyle w:val="SubHead"/>
        <w:rPr>
          <w:i/>
        </w:rPr>
      </w:pPr>
      <w:bookmarkStart w:id="6" w:name="_Toc323042589"/>
      <w:bookmarkStart w:id="7" w:name="_Toc330463566"/>
      <w:bookmarkEnd w:id="5"/>
      <w:r w:rsidRPr="006C43BC">
        <w:t>Sampling Methodology</w:t>
      </w:r>
      <w:bookmarkEnd w:id="6"/>
      <w:bookmarkEnd w:id="7"/>
      <w:r w:rsidR="002A01BD">
        <w:t xml:space="preserve"> </w:t>
      </w:r>
    </w:p>
    <w:p w14:paraId="55C87AB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718509E"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D96F3A" w14:textId="77777777" w:rsidR="00D97E2A" w:rsidRDefault="00D97E2A">
      <w:pPr>
        <w:autoSpaceDE/>
        <w:autoSpaceDN/>
        <w:adjustRightInd/>
        <w:rPr>
          <w:rFonts w:asciiTheme="minorHAnsi" w:eastAsiaTheme="majorEastAsia" w:hAnsiTheme="minorHAnsi" w:cs="Tahoma"/>
          <w:b/>
          <w:color w:val="auto"/>
          <w:spacing w:val="15"/>
          <w:u w:val="single"/>
        </w:rPr>
      </w:pPr>
    </w:p>
    <w:p w14:paraId="128CD5E5" w14:textId="3A508F8C" w:rsidR="00CC7E3E" w:rsidRPr="006C43BC" w:rsidRDefault="00CC7E3E" w:rsidP="00CC440E">
      <w:pPr>
        <w:pStyle w:val="SubHead"/>
        <w:rPr>
          <w:rFonts w:cs="Arial"/>
          <w:i/>
        </w:rPr>
      </w:pPr>
      <w:r w:rsidRPr="006C43BC">
        <w:t>Regulatory Language</w:t>
      </w:r>
      <w:r w:rsidR="00FD4903" w:rsidRPr="006C43BC">
        <w:t xml:space="preserve">   </w:t>
      </w:r>
    </w:p>
    <w:p w14:paraId="3FF67328" w14:textId="77777777" w:rsidR="00FD4903" w:rsidRPr="006C43BC" w:rsidRDefault="00FD4903" w:rsidP="00CC7E3E">
      <w:pPr>
        <w:rPr>
          <w:rFonts w:asciiTheme="minorHAnsi" w:hAnsiTheme="minorHAnsi"/>
        </w:rPr>
      </w:pPr>
    </w:p>
    <w:p w14:paraId="350BC0BD" w14:textId="77777777" w:rsidR="003057A4" w:rsidRDefault="003057A4" w:rsidP="003057A4">
      <w:pPr>
        <w:pStyle w:val="SubHead"/>
        <w:rPr>
          <w:b w:val="0"/>
          <w:u w:val="none"/>
        </w:rPr>
      </w:pPr>
      <w:r>
        <w:rPr>
          <w:u w:val="none"/>
        </w:rPr>
        <w:t>Order No. 799</w:t>
      </w:r>
      <w:r w:rsidRPr="00F22EA9">
        <w:rPr>
          <w:u w:val="none"/>
        </w:rPr>
        <w:t xml:space="preserve">.  </w:t>
      </w:r>
      <w:r w:rsidRPr="00F22EA9">
        <w:rPr>
          <w:b w:val="0"/>
          <w:i/>
          <w:u w:val="none"/>
        </w:rPr>
        <w:t>Generator Relay Loadability and Revised Transmission Relay Loadability Standards</w:t>
      </w:r>
      <w:r w:rsidRPr="00F22EA9">
        <w:rPr>
          <w:b w:val="0"/>
          <w:u w:val="none"/>
        </w:rPr>
        <w:t>, 148 FERC ¶ 61,042 (2014).</w:t>
      </w:r>
    </w:p>
    <w:p w14:paraId="1EEDF2CC" w14:textId="77777777" w:rsidR="003057A4" w:rsidRPr="00192416" w:rsidRDefault="003057A4" w:rsidP="003057A4">
      <w:pPr>
        <w:pStyle w:val="SubHead"/>
        <w:rPr>
          <w:b w:val="0"/>
          <w:u w:val="none"/>
        </w:rPr>
      </w:pPr>
      <w:r>
        <w:rPr>
          <w:b w:val="0"/>
          <w:sz w:val="20"/>
          <w:szCs w:val="20"/>
          <w:u w:val="none"/>
        </w:rPr>
        <w:t xml:space="preserve">  </w:t>
      </w:r>
      <w:hyperlink r:id="rId15" w:history="1">
        <w:r w:rsidRPr="00192416">
          <w:rPr>
            <w:rStyle w:val="Hyperlink"/>
            <w:b w:val="0"/>
          </w:rPr>
          <w:t>http://www.nerc.com/FilingsOrders/us/FERCOrdersRules/Final%20Rule%20PRC-025-1%20and%20PRC-023-3.pdf</w:t>
        </w:r>
      </w:hyperlink>
    </w:p>
    <w:p w14:paraId="2988314F" w14:textId="77777777" w:rsidR="003057A4" w:rsidRDefault="003057A4" w:rsidP="003057A4">
      <w:pPr>
        <w:pStyle w:val="SubHead"/>
        <w:rPr>
          <w:b w:val="0"/>
          <w14:shadow w14:blurRad="50800" w14:dist="38100" w14:dir="2700000" w14:sx="100000" w14:sy="100000" w14:kx="0" w14:ky="0" w14:algn="tl">
            <w14:srgbClr w14:val="000000">
              <w14:alpha w14:val="60000"/>
            </w14:srgbClr>
          </w14:shadow>
        </w:rPr>
      </w:pPr>
    </w:p>
    <w:p w14:paraId="68D87C30" w14:textId="77777777" w:rsidR="003057A4" w:rsidRPr="00871DFD" w:rsidRDefault="003057A4" w:rsidP="003057A4">
      <w:pPr>
        <w:pStyle w:val="SubHead"/>
        <w:ind w:left="990" w:hanging="990"/>
        <w:rPr>
          <w:b w:val="0"/>
          <w:u w:val="none"/>
        </w:rPr>
      </w:pPr>
      <w:r w:rsidRPr="00871DFD">
        <w:rPr>
          <w:b w:val="0"/>
          <w:u w:val="none"/>
        </w:rPr>
        <w:t>P 2</w:t>
      </w:r>
      <w:r w:rsidRPr="00871DFD">
        <w:rPr>
          <w:b w:val="0"/>
          <w:u w:val="none"/>
        </w:rPr>
        <w:tab/>
        <w:t>In approving the Standard, FERC found “that the new standard on generation loadability, Reliability Standard PRC-025-1, will enhance reliability by imposing mandatory requirements governing generator relay loadability, thereby reducing the likelihood of premature or unnecessary tripping of generators during system distrubances.”</w:t>
      </w:r>
    </w:p>
    <w:p w14:paraId="54212B22" w14:textId="77777777" w:rsidR="003057A4" w:rsidRPr="00871DFD" w:rsidRDefault="003057A4" w:rsidP="003057A4">
      <w:pPr>
        <w:pStyle w:val="SubHead"/>
        <w:ind w:left="990" w:hanging="990"/>
        <w:rPr>
          <w:b w:val="0"/>
          <w:u w:val="none"/>
        </w:rPr>
      </w:pPr>
    </w:p>
    <w:p w14:paraId="17808E32" w14:textId="77777777" w:rsidR="003057A4" w:rsidRPr="008F56D6" w:rsidRDefault="003057A4" w:rsidP="003057A4">
      <w:pPr>
        <w:pStyle w:val="SubHead"/>
        <w:ind w:left="990" w:hanging="990"/>
        <w:rPr>
          <w:b w:val="0"/>
          <w14:shadow w14:blurRad="50800" w14:dist="38100" w14:dir="2700000" w14:sx="100000" w14:sy="100000" w14:kx="0" w14:ky="0" w14:algn="tl">
            <w14:srgbClr w14:val="000000">
              <w14:alpha w14:val="60000"/>
            </w14:srgbClr>
          </w14:shadow>
        </w:rPr>
      </w:pPr>
      <w:r w:rsidRPr="00871DFD">
        <w:rPr>
          <w:b w:val="0"/>
          <w:u w:val="none"/>
        </w:rPr>
        <w:t>P 9</w:t>
      </w:r>
      <w:r w:rsidRPr="00871DFD">
        <w:rPr>
          <w:b w:val="0"/>
          <w:u w:val="none"/>
        </w:rPr>
        <w:tab/>
        <w:t>During the discussion of PRC-025-1, FERC stated “For most applications of each type of relay [e.g., synchronous or asynchronous generator, generator step-up transformer, or unit auxiliary transformer], the proposed standard would give applicable entities the option of adopting relay</w:t>
      </w:r>
      <w:r w:rsidRPr="00871DFD">
        <w:rPr>
          <w:b w:val="0"/>
        </w:rPr>
        <w:t xml:space="preserve"> </w:t>
      </w:r>
      <w:r w:rsidRPr="00871DFD">
        <w:rPr>
          <w:b w:val="0"/>
          <w:u w:val="none"/>
        </w:rPr>
        <w:t>settings that meet the stated criteria as determined through: (1) a relatively simple calculation; (2) a more complex calculation; or (3) a described simulation.”</w:t>
      </w:r>
    </w:p>
    <w:p w14:paraId="375F6A98"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28ACB6F6" w14:textId="0052F34F" w:rsidR="00D97E2A" w:rsidRDefault="00D97E2A">
      <w:pPr>
        <w:autoSpaceDE/>
        <w:autoSpaceDN/>
        <w:adjustRightInd/>
        <w:rPr>
          <w:rFonts w:ascii="Calibri" w:hAnsi="Calibri" w:cs="Tahoma"/>
          <w:b/>
          <w:color w:val="auto"/>
          <w:spacing w:val="15"/>
          <w:u w:val="single"/>
        </w:rPr>
      </w:pPr>
    </w:p>
    <w:p w14:paraId="04F3D37D" w14:textId="77777777" w:rsidR="00D54CB4" w:rsidRPr="00840537" w:rsidRDefault="00D54CB4" w:rsidP="00CC440E">
      <w:pPr>
        <w:pStyle w:val="SubHead"/>
      </w:pPr>
      <w:r w:rsidRPr="00840537">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AE15A5">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AE15A5">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AE15A5">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AE15A5">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AE15A5">
            <w:pPr>
              <w:jc w:val="center"/>
              <w:rPr>
                <w:rFonts w:ascii="Calibri" w:hAnsi="Calibri" w:cs="Times New Roman"/>
                <w:b/>
              </w:rPr>
            </w:pPr>
            <w:r w:rsidRPr="009B28B0">
              <w:rPr>
                <w:rFonts w:ascii="Calibri" w:hAnsi="Calibri" w:cs="Times New Roman"/>
                <w:b/>
              </w:rPr>
              <w:t>Revision Description</w:t>
            </w:r>
          </w:p>
        </w:tc>
      </w:tr>
      <w:tr w:rsidR="002A01BD" w:rsidRPr="009B28B0" w14:paraId="6239E1A3" w14:textId="77777777" w:rsidTr="00AE15A5">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312D6F32" w:rsidR="002A01BD" w:rsidRPr="009B28B0" w:rsidRDefault="00424DE5" w:rsidP="00CF0C11">
            <w:pPr>
              <w:jc w:val="center"/>
              <w:rPr>
                <w:rFonts w:ascii="Calibri" w:hAnsi="Calibri" w:cs="Times New Roman"/>
              </w:rPr>
            </w:pPr>
            <w:r>
              <w:rPr>
                <w:rFonts w:ascii="Calibri" w:hAnsi="Calibri" w:cs="Times New Roman"/>
              </w:rPr>
              <w:t>08/29/2014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2CB215EA" w:rsidR="002A01BD" w:rsidRPr="009B28B0" w:rsidRDefault="00424DE5" w:rsidP="00AE15A5">
            <w:pPr>
              <w:rPr>
                <w:rFonts w:ascii="Calibri" w:hAnsi="Calibri" w:cs="Times New Roman"/>
              </w:rPr>
            </w:pPr>
            <w:r>
              <w:rPr>
                <w:rFonts w:ascii="Calibri" w:hAnsi="Calibri" w:cs="Times New Roman"/>
                <w:color w:val="auto"/>
              </w:rPr>
              <w:t>NERC Compliance, RSAWTF, CMFG, ECEMG</w:t>
            </w:r>
          </w:p>
        </w:tc>
        <w:tc>
          <w:tcPr>
            <w:tcW w:w="5040" w:type="dxa"/>
            <w:tcBorders>
              <w:top w:val="single" w:sz="4" w:space="0" w:color="000000"/>
              <w:left w:val="single" w:sz="4" w:space="0" w:color="000000"/>
              <w:bottom w:val="single" w:sz="4" w:space="0" w:color="000000"/>
              <w:right w:val="single" w:sz="4" w:space="0" w:color="000000"/>
            </w:tcBorders>
          </w:tcPr>
          <w:p w14:paraId="47F6CD96" w14:textId="77777777" w:rsidR="002A01BD" w:rsidRPr="009B28B0" w:rsidRDefault="00CF0C11" w:rsidP="00AE15A5">
            <w:pPr>
              <w:rPr>
                <w:rFonts w:ascii="Calibri" w:hAnsi="Calibri" w:cs="Times New Roman"/>
              </w:rPr>
            </w:pPr>
            <w:r>
              <w:rPr>
                <w:rFonts w:ascii="Calibri" w:hAnsi="Calibri" w:cs="Times New Roman"/>
              </w:rPr>
              <w:t>New Document</w:t>
            </w:r>
          </w:p>
        </w:tc>
      </w:tr>
      <w:tr w:rsidR="002A01BD" w:rsidRPr="009B28B0" w14:paraId="08B04C58" w14:textId="77777777" w:rsidTr="00AE15A5">
        <w:tc>
          <w:tcPr>
            <w:tcW w:w="1016" w:type="dxa"/>
            <w:tcBorders>
              <w:top w:val="single" w:sz="4" w:space="0" w:color="000000"/>
              <w:left w:val="single" w:sz="4" w:space="0" w:color="000000"/>
              <w:bottom w:val="single" w:sz="4" w:space="0" w:color="000000"/>
              <w:right w:val="single" w:sz="4" w:space="0" w:color="000000"/>
            </w:tcBorders>
          </w:tcPr>
          <w:p w14:paraId="61920480"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9C39DFC"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0908D36" w14:textId="77777777" w:rsidR="002A01BD" w:rsidRPr="009B28B0" w:rsidRDefault="002A01BD" w:rsidP="00AE15A5">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64862117" w14:textId="77777777" w:rsidR="002A01BD" w:rsidRPr="009B28B0" w:rsidRDefault="002A01BD" w:rsidP="00AE15A5">
            <w:pPr>
              <w:rPr>
                <w:rFonts w:ascii="Calibri" w:hAnsi="Calibri" w:cs="Times New Roman"/>
              </w:rPr>
            </w:pPr>
          </w:p>
        </w:tc>
      </w:tr>
      <w:tr w:rsidR="002A01BD" w:rsidRPr="009B28B0" w14:paraId="1F5CB434" w14:textId="77777777" w:rsidTr="00AE15A5">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2A01BD" w:rsidRPr="009B28B0" w:rsidRDefault="002A01BD" w:rsidP="00AE15A5">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2A01BD" w:rsidRPr="009B28B0" w:rsidRDefault="002A01BD" w:rsidP="00AE15A5">
            <w:pPr>
              <w:rPr>
                <w:rFonts w:ascii="Calibri" w:hAnsi="Calibri" w:cs="Times New Roman"/>
              </w:rPr>
            </w:pPr>
          </w:p>
        </w:tc>
      </w:tr>
    </w:tbl>
    <w:p w14:paraId="4279EE94" w14:textId="77777777" w:rsidR="00CF0C11" w:rsidRDefault="00CF0C11" w:rsidP="00CF0C11">
      <w:pPr>
        <w:pStyle w:val="SubHead"/>
      </w:pPr>
    </w:p>
    <w:sectPr w:rsidR="00CF0C11" w:rsidSect="00F019DB">
      <w:headerReference w:type="default" r:id="rId16"/>
      <w:footerReference w:type="default" r:id="rId17"/>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5BAE1" w14:textId="77777777" w:rsidR="00CE4D10" w:rsidRDefault="00CE4D10">
      <w:r>
        <w:separator/>
      </w:r>
    </w:p>
  </w:endnote>
  <w:endnote w:type="continuationSeparator" w:id="0">
    <w:p w14:paraId="2FA5D04E" w14:textId="77777777" w:rsidR="00CE4D10" w:rsidRDefault="00CE4D10">
      <w:r>
        <w:continuationSeparator/>
      </w:r>
    </w:p>
  </w:endnote>
  <w:endnote w:id="1">
    <w:p w14:paraId="7D0C54ED" w14:textId="77777777" w:rsidR="00AD32EC" w:rsidRPr="00965A4F" w:rsidRDefault="00AD32EC">
      <w:pPr>
        <w:pStyle w:val="EndnoteText"/>
        <w:rPr>
          <w:rFonts w:asciiTheme="minorHAnsi" w:hAnsiTheme="minorHAnsi"/>
        </w:rPr>
      </w:pPr>
      <w:r w:rsidRPr="00965A4F">
        <w:rPr>
          <w:rStyle w:val="EndnoteReference"/>
          <w:rFonts w:asciiTheme="minorHAnsi" w:hAnsiTheme="minorHAnsi"/>
        </w:rPr>
        <w:endnoteRef/>
      </w:r>
      <w:r w:rsidRPr="00965A4F">
        <w:rPr>
          <w:rFonts w:asciiTheme="minorHAnsi" w:hAnsiTheme="minorHAnsi"/>
        </w:rPr>
        <w:t xml:space="preserve"> </w:t>
      </w:r>
      <w:r w:rsidRPr="00965A4F">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1B56F4A0" w:rsidR="006C43BC" w:rsidRPr="001D34F6" w:rsidRDefault="006C43BC"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6C43BC" w:rsidRPr="001D34F6" w:rsidRDefault="00F019DB"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006C43BC"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1A84159D" w:rsidR="002A01BD" w:rsidRPr="008C17EB" w:rsidRDefault="006C43BC"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sidR="00965A4F">
      <w:rPr>
        <w:rFonts w:asciiTheme="minorHAnsi" w:hAnsiTheme="minorHAnsi"/>
        <w:color w:val="0070C0"/>
        <w:sz w:val="18"/>
        <w:szCs w:val="22"/>
      </w:rPr>
      <w:t>PRC-025-1</w:t>
    </w:r>
    <w:r w:rsidR="00CF0AAE">
      <w:rPr>
        <w:rFonts w:asciiTheme="minorHAnsi" w:hAnsiTheme="minorHAnsi"/>
        <w:color w:val="0070C0"/>
        <w:sz w:val="18"/>
        <w:szCs w:val="22"/>
      </w:rPr>
      <w:t>_2014</w:t>
    </w:r>
    <w:r w:rsidRPr="00F019DB">
      <w:rPr>
        <w:rFonts w:asciiTheme="minorHAnsi" w:hAnsiTheme="minorHAnsi"/>
        <w:color w:val="0070C0"/>
        <w:sz w:val="18"/>
        <w:szCs w:val="22"/>
      </w:rPr>
      <w:t>_v1</w:t>
    </w:r>
    <w:r>
      <w:rPr>
        <w:rFonts w:asciiTheme="minorHAnsi" w:hAnsiTheme="minorHAnsi"/>
        <w:sz w:val="18"/>
        <w:szCs w:val="18"/>
      </w:rPr>
      <w:t xml:space="preserve"> </w:t>
    </w:r>
    <w:r w:rsidR="002A01BD">
      <w:rPr>
        <w:rFonts w:asciiTheme="minorHAnsi" w:hAnsiTheme="minorHAnsi"/>
        <w:color w:val="auto"/>
        <w:sz w:val="18"/>
        <w:szCs w:val="22"/>
      </w:rPr>
      <w:t xml:space="preserve">Revision Date: </w:t>
    </w:r>
    <w:r w:rsidR="00965A4F">
      <w:rPr>
        <w:rFonts w:asciiTheme="minorHAnsi" w:hAnsiTheme="minorHAnsi"/>
        <w:color w:val="0070C0"/>
        <w:sz w:val="18"/>
        <w:szCs w:val="22"/>
      </w:rPr>
      <w:t>August</w:t>
    </w:r>
    <w:r w:rsidR="002A01BD" w:rsidRPr="002A01BD">
      <w:rPr>
        <w:rFonts w:asciiTheme="minorHAnsi" w:hAnsiTheme="minorHAnsi"/>
        <w:color w:val="0070C0"/>
        <w:sz w:val="18"/>
        <w:szCs w:val="22"/>
      </w:rPr>
      <w:t xml:space="preserve">, </w:t>
    </w:r>
    <w:r w:rsidR="00965A4F">
      <w:rPr>
        <w:rFonts w:asciiTheme="minorHAnsi" w:hAnsiTheme="minorHAnsi"/>
        <w:color w:val="0070C0"/>
        <w:sz w:val="18"/>
        <w:szCs w:val="22"/>
      </w:rPr>
      <w:t>2014</w:t>
    </w:r>
    <w:r w:rsidR="00DB5B73">
      <w:rPr>
        <w:rFonts w:asciiTheme="minorHAnsi" w:hAnsiTheme="minorHAnsi"/>
        <w:color w:val="0070C0"/>
        <w:sz w:val="18"/>
        <w:szCs w:val="22"/>
      </w:rPr>
      <w:t xml:space="preserve"> </w:t>
    </w:r>
    <w:r w:rsidR="00DB5B73" w:rsidRPr="00DB5B73">
      <w:rPr>
        <w:rFonts w:asciiTheme="minorHAnsi" w:hAnsiTheme="minorHAnsi"/>
        <w:color w:val="auto"/>
        <w:sz w:val="18"/>
        <w:szCs w:val="22"/>
      </w:rPr>
      <w:t xml:space="preserve">RSAW Template: </w:t>
    </w:r>
    <w:r w:rsidR="00DB5B73">
      <w:rPr>
        <w:rFonts w:asciiTheme="minorHAnsi" w:hAnsiTheme="minorHAnsi"/>
        <w:color w:val="0070C0"/>
        <w:sz w:val="18"/>
        <w:szCs w:val="22"/>
      </w:rPr>
      <w:t>RSAW</w:t>
    </w:r>
    <w:r w:rsidR="00965A4F">
      <w:rPr>
        <w:rFonts w:asciiTheme="minorHAnsi" w:hAnsiTheme="minorHAnsi"/>
        <w:color w:val="0070C0"/>
        <w:sz w:val="18"/>
        <w:szCs w:val="22"/>
      </w:rPr>
      <w:t>2014</w:t>
    </w:r>
    <w:r w:rsidR="00785B43">
      <w:rPr>
        <w:rFonts w:asciiTheme="minorHAnsi" w:hAnsiTheme="minorHAnsi"/>
        <w:color w:val="0070C0"/>
        <w:sz w:val="18"/>
        <w:szCs w:val="22"/>
      </w:rPr>
      <w:t>R</w:t>
    </w:r>
    <w:r w:rsidR="00965A4F">
      <w:rPr>
        <w:rFonts w:asciiTheme="minorHAnsi" w:hAnsiTheme="minorHAnsi"/>
        <w:color w:val="0070C0"/>
        <w:sz w:val="18"/>
        <w:szCs w:val="22"/>
      </w:rPr>
      <w:t>1.2</w:t>
    </w:r>
  </w:p>
  <w:p w14:paraId="25C67880" w14:textId="77777777" w:rsidR="006C43BC" w:rsidRPr="0071254D" w:rsidRDefault="00411369"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006C43BC"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4E741E">
      <w:rPr>
        <w:rStyle w:val="PageNumber"/>
        <w:rFonts w:asciiTheme="minorHAnsi" w:hAnsiTheme="minorHAnsi" w:cs="Times New Roman"/>
        <w:noProof/>
        <w:sz w:val="18"/>
        <w:szCs w:val="18"/>
      </w:rPr>
      <w:t>8</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2A9ED" w14:textId="77777777" w:rsidR="00CE4D10" w:rsidRDefault="00CE4D10">
      <w:r>
        <w:separator/>
      </w:r>
    </w:p>
  </w:footnote>
  <w:footnote w:type="continuationSeparator" w:id="0">
    <w:p w14:paraId="51C1CCB0" w14:textId="77777777" w:rsidR="00CE4D10" w:rsidRDefault="00CE4D10">
      <w:r>
        <w:continuationSeparator/>
      </w:r>
    </w:p>
  </w:footnote>
  <w:footnote w:id="1">
    <w:p w14:paraId="43ED6495" w14:textId="77777777" w:rsidR="006C43BC" w:rsidRPr="004F562B" w:rsidRDefault="006C43BC"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6C43BC" w:rsidRPr="004F562B" w:rsidRDefault="006C43BC" w:rsidP="001D52A5">
      <w:pPr>
        <w:jc w:val="both"/>
        <w:rPr>
          <w:rFonts w:asciiTheme="minorHAnsi" w:hAnsiTheme="minorHAnsi" w:cs="Times New Roman"/>
          <w:sz w:val="16"/>
          <w:szCs w:val="16"/>
        </w:rPr>
      </w:pPr>
    </w:p>
    <w:p w14:paraId="610D679C" w14:textId="77777777" w:rsidR="006C43BC" w:rsidRPr="004F562B" w:rsidRDefault="006C43BC"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A4CC534" w14:textId="77777777" w:rsidR="006C43BC" w:rsidRDefault="006C43BC">
      <w:pPr>
        <w:pStyle w:val="FootnoteText"/>
      </w:pPr>
    </w:p>
  </w:footnote>
  <w:footnote w:id="2">
    <w:p w14:paraId="4E364D8E" w14:textId="77777777" w:rsidR="005E228B" w:rsidRPr="005E228B" w:rsidRDefault="005E228B">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0A0BFD8D" w14:textId="7392C547" w:rsidR="008B56FB" w:rsidRPr="008B56FB" w:rsidRDefault="008B56FB">
      <w:pPr>
        <w:pStyle w:val="FootnoteText"/>
        <w:rPr>
          <w:rFonts w:asciiTheme="minorHAnsi" w:hAnsiTheme="minorHAnsi"/>
          <w:sz w:val="16"/>
          <w:szCs w:val="16"/>
        </w:rPr>
      </w:pPr>
      <w:r w:rsidRPr="008B56FB">
        <w:rPr>
          <w:rStyle w:val="FootnoteReference"/>
          <w:rFonts w:asciiTheme="minorHAnsi" w:hAnsiTheme="minorHAnsi"/>
          <w:sz w:val="16"/>
          <w:szCs w:val="16"/>
        </w:rPr>
        <w:footnoteRef/>
      </w:r>
      <w:r w:rsidRPr="008B56FB">
        <w:rPr>
          <w:rFonts w:asciiTheme="minorHAnsi" w:hAnsiTheme="minorHAnsi"/>
          <w:sz w:val="16"/>
          <w:szCs w:val="16"/>
        </w:rPr>
        <w:t xml:space="preserve"> Entity that applies load-responsive protective relays at the terminals of the Elements listed in, Facilities.</w:t>
      </w:r>
    </w:p>
  </w:footnote>
  <w:footnote w:id="4">
    <w:p w14:paraId="29E87848" w14:textId="1180CBE7" w:rsidR="005113E1" w:rsidRPr="005113E1" w:rsidRDefault="005113E1">
      <w:pPr>
        <w:pStyle w:val="FootnoteText"/>
        <w:rPr>
          <w:rFonts w:asciiTheme="minorHAnsi" w:hAnsiTheme="minorHAnsi"/>
          <w:sz w:val="16"/>
          <w:szCs w:val="16"/>
        </w:rPr>
      </w:pPr>
      <w:r w:rsidRPr="005113E1">
        <w:rPr>
          <w:rStyle w:val="FootnoteReference"/>
          <w:rFonts w:asciiTheme="minorHAnsi" w:hAnsiTheme="minorHAnsi"/>
          <w:sz w:val="16"/>
          <w:szCs w:val="16"/>
        </w:rPr>
        <w:footnoteRef/>
      </w:r>
      <w:r w:rsidRPr="005113E1">
        <w:rPr>
          <w:rFonts w:asciiTheme="minorHAnsi" w:hAnsiTheme="minorHAnsi"/>
          <w:sz w:val="16"/>
          <w:szCs w:val="16"/>
        </w:rPr>
        <w:t xml:space="preserve"> These transformers are variable referred to as station power, unit auxiliary transformer(s) (UAT), or station service transformer(s) used to provide overall </w:t>
      </w:r>
      <w:r w:rsidR="00822A81" w:rsidRPr="005113E1">
        <w:rPr>
          <w:rFonts w:asciiTheme="minorHAnsi" w:hAnsiTheme="minorHAnsi"/>
          <w:sz w:val="16"/>
          <w:szCs w:val="16"/>
        </w:rPr>
        <w:t>auxiliary</w:t>
      </w:r>
      <w:r w:rsidRPr="005113E1">
        <w:rPr>
          <w:rFonts w:asciiTheme="minorHAnsi" w:hAnsiTheme="minorHAnsi"/>
          <w:sz w:val="16"/>
          <w:szCs w:val="16"/>
        </w:rPr>
        <w:t xml:space="preserve"> power to the generator station when the generator is running. Loss of these transformers will result in removing the generator from service. Refer to the PRC-025-1 Guidelines and Technical Basis for more detailed information concerning unit auxiliary transformers.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598D0CAE" w:rsidR="006C43BC" w:rsidRDefault="006C43BC" w:rsidP="00E67FE8">
    <w:pPr>
      <w:widowControl w:val="0"/>
      <w:spacing w:line="294" w:lineRule="exact"/>
      <w:rPr>
        <w:rFonts w:ascii="Times New Roman" w:hAnsi="Times New Roman" w:cs="Times New Roman"/>
        <w:b/>
        <w:bCs/>
        <w:color w:val="003366"/>
        <w:sz w:val="28"/>
        <w:szCs w:val="28"/>
      </w:rPr>
    </w:pPr>
  </w:p>
  <w:p w14:paraId="15ACB535" w14:textId="24EB8893" w:rsidR="006C43BC" w:rsidRPr="00747591" w:rsidRDefault="006C43BC"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6C43BC" w:rsidRDefault="006C43BC"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6C43BC" w:rsidRDefault="006C43BC">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4B74DC"/>
    <w:multiLevelType w:val="hybridMultilevel"/>
    <w:tmpl w:val="CF98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6" w15:restartNumberingAfterBreak="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 w15:restartNumberingAfterBreak="0">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60E163D"/>
    <w:multiLevelType w:val="hybridMultilevel"/>
    <w:tmpl w:val="C8BA1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3" w15:restartNumberingAfterBreak="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7" w15:restartNumberingAfterBreak="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8" w15:restartNumberingAfterBreak="0">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3" w15:restartNumberingAfterBreak="0">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5" w15:restartNumberingAfterBreak="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7" w15:restartNumberingAfterBreak="0">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4"/>
  </w:num>
  <w:num w:numId="6">
    <w:abstractNumId w:val="16"/>
  </w:num>
  <w:num w:numId="7">
    <w:abstractNumId w:val="5"/>
  </w:num>
  <w:num w:numId="8">
    <w:abstractNumId w:val="28"/>
  </w:num>
  <w:num w:numId="9">
    <w:abstractNumId w:val="26"/>
  </w:num>
  <w:num w:numId="10">
    <w:abstractNumId w:val="4"/>
  </w:num>
  <w:num w:numId="11">
    <w:abstractNumId w:val="21"/>
  </w:num>
  <w:num w:numId="12">
    <w:abstractNumId w:val="12"/>
  </w:num>
  <w:num w:numId="13">
    <w:abstractNumId w:val="1"/>
  </w:num>
  <w:num w:numId="14">
    <w:abstractNumId w:val="2"/>
  </w:num>
  <w:num w:numId="15">
    <w:abstractNumId w:val="33"/>
  </w:num>
  <w:num w:numId="16">
    <w:abstractNumId w:val="30"/>
  </w:num>
  <w:num w:numId="17">
    <w:abstractNumId w:val="31"/>
  </w:num>
  <w:num w:numId="18">
    <w:abstractNumId w:val="22"/>
  </w:num>
  <w:num w:numId="19">
    <w:abstractNumId w:val="19"/>
  </w:num>
  <w:num w:numId="20">
    <w:abstractNumId w:val="6"/>
  </w:num>
  <w:num w:numId="21">
    <w:abstractNumId w:val="17"/>
  </w:num>
  <w:num w:numId="22">
    <w:abstractNumId w:val="8"/>
  </w:num>
  <w:num w:numId="23">
    <w:abstractNumId w:val="14"/>
  </w:num>
  <w:num w:numId="24">
    <w:abstractNumId w:val="29"/>
  </w:num>
  <w:num w:numId="25">
    <w:abstractNumId w:val="23"/>
  </w:num>
  <w:num w:numId="26">
    <w:abstractNumId w:val="11"/>
  </w:num>
  <w:num w:numId="27">
    <w:abstractNumId w:val="27"/>
  </w:num>
  <w:num w:numId="28">
    <w:abstractNumId w:val="7"/>
  </w:num>
  <w:num w:numId="29">
    <w:abstractNumId w:val="15"/>
  </w:num>
  <w:num w:numId="30">
    <w:abstractNumId w:val="10"/>
  </w:num>
  <w:num w:numId="31">
    <w:abstractNumId w:val="0"/>
  </w:num>
  <w:num w:numId="32">
    <w:abstractNumId w:val="18"/>
  </w:num>
  <w:num w:numId="33">
    <w:abstractNumId w:val="9"/>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bordersDoNotSurroundHeader/>
  <w:bordersDoNotSurroundFooter/>
  <w:hideSpellingErrors/>
  <w:hideGrammaticalErrors/>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56282"/>
    <w:rsid w:val="00060F12"/>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0E7C"/>
    <w:rsid w:val="000B2F8B"/>
    <w:rsid w:val="000B681C"/>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59A8"/>
    <w:rsid w:val="000F62C0"/>
    <w:rsid w:val="000F6D7D"/>
    <w:rsid w:val="000F723F"/>
    <w:rsid w:val="00100788"/>
    <w:rsid w:val="001057DE"/>
    <w:rsid w:val="001061B6"/>
    <w:rsid w:val="001075BF"/>
    <w:rsid w:val="00111900"/>
    <w:rsid w:val="00111E67"/>
    <w:rsid w:val="00113668"/>
    <w:rsid w:val="00114301"/>
    <w:rsid w:val="00114F96"/>
    <w:rsid w:val="001150AC"/>
    <w:rsid w:val="00115DBA"/>
    <w:rsid w:val="00116AAD"/>
    <w:rsid w:val="00116E61"/>
    <w:rsid w:val="001209C7"/>
    <w:rsid w:val="00121BAB"/>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1071"/>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01E"/>
    <w:rsid w:val="001A09D6"/>
    <w:rsid w:val="001A23FD"/>
    <w:rsid w:val="001A2527"/>
    <w:rsid w:val="001A32FE"/>
    <w:rsid w:val="001A3811"/>
    <w:rsid w:val="001A6122"/>
    <w:rsid w:val="001B08A7"/>
    <w:rsid w:val="001B3582"/>
    <w:rsid w:val="001B4609"/>
    <w:rsid w:val="001B6133"/>
    <w:rsid w:val="001B6518"/>
    <w:rsid w:val="001B698D"/>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2ABD"/>
    <w:rsid w:val="002613DD"/>
    <w:rsid w:val="0026265C"/>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1AC"/>
    <w:rsid w:val="00295776"/>
    <w:rsid w:val="00296AB3"/>
    <w:rsid w:val="00297D67"/>
    <w:rsid w:val="002A01BD"/>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3FA2"/>
    <w:rsid w:val="002F6CEE"/>
    <w:rsid w:val="0030012B"/>
    <w:rsid w:val="00304924"/>
    <w:rsid w:val="00304FF0"/>
    <w:rsid w:val="003054C4"/>
    <w:rsid w:val="003057A4"/>
    <w:rsid w:val="00305CC5"/>
    <w:rsid w:val="00306738"/>
    <w:rsid w:val="003113D1"/>
    <w:rsid w:val="0031156F"/>
    <w:rsid w:val="00311633"/>
    <w:rsid w:val="00323042"/>
    <w:rsid w:val="003230AA"/>
    <w:rsid w:val="00324C2A"/>
    <w:rsid w:val="00330AF1"/>
    <w:rsid w:val="00333561"/>
    <w:rsid w:val="00334436"/>
    <w:rsid w:val="00334A5C"/>
    <w:rsid w:val="003379A2"/>
    <w:rsid w:val="00340802"/>
    <w:rsid w:val="0034396E"/>
    <w:rsid w:val="00345FA1"/>
    <w:rsid w:val="00346551"/>
    <w:rsid w:val="00346CA1"/>
    <w:rsid w:val="0035254C"/>
    <w:rsid w:val="00352AC9"/>
    <w:rsid w:val="00353429"/>
    <w:rsid w:val="00353E3C"/>
    <w:rsid w:val="00353EC7"/>
    <w:rsid w:val="00354CBA"/>
    <w:rsid w:val="003612BA"/>
    <w:rsid w:val="003613BA"/>
    <w:rsid w:val="00361ECD"/>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1E03"/>
    <w:rsid w:val="003E2299"/>
    <w:rsid w:val="003E2468"/>
    <w:rsid w:val="003E3E31"/>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4DE5"/>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56BF5"/>
    <w:rsid w:val="00462069"/>
    <w:rsid w:val="0046364E"/>
    <w:rsid w:val="00464FDB"/>
    <w:rsid w:val="00465C2D"/>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4FFD"/>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D55C0"/>
    <w:rsid w:val="004E0A3D"/>
    <w:rsid w:val="004E11B9"/>
    <w:rsid w:val="004E17D4"/>
    <w:rsid w:val="004E1BC5"/>
    <w:rsid w:val="004E3D71"/>
    <w:rsid w:val="004E60B8"/>
    <w:rsid w:val="004E741E"/>
    <w:rsid w:val="004E77ED"/>
    <w:rsid w:val="004F3934"/>
    <w:rsid w:val="004F562B"/>
    <w:rsid w:val="004F7DA7"/>
    <w:rsid w:val="005001F7"/>
    <w:rsid w:val="00501243"/>
    <w:rsid w:val="00504B91"/>
    <w:rsid w:val="00505CE2"/>
    <w:rsid w:val="00506494"/>
    <w:rsid w:val="005076DD"/>
    <w:rsid w:val="00507DEE"/>
    <w:rsid w:val="00511010"/>
    <w:rsid w:val="00511264"/>
    <w:rsid w:val="005113E1"/>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36F38"/>
    <w:rsid w:val="005403FB"/>
    <w:rsid w:val="00542761"/>
    <w:rsid w:val="005466D8"/>
    <w:rsid w:val="005477A9"/>
    <w:rsid w:val="00550866"/>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77F2"/>
    <w:rsid w:val="00651481"/>
    <w:rsid w:val="00654818"/>
    <w:rsid w:val="00654B57"/>
    <w:rsid w:val="00660E26"/>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3938"/>
    <w:rsid w:val="006F6D5A"/>
    <w:rsid w:val="00700256"/>
    <w:rsid w:val="0070368D"/>
    <w:rsid w:val="00703C6B"/>
    <w:rsid w:val="00705BB3"/>
    <w:rsid w:val="007062AE"/>
    <w:rsid w:val="00706CF2"/>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1F2C"/>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85B43"/>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3503"/>
    <w:rsid w:val="00816182"/>
    <w:rsid w:val="00816AB5"/>
    <w:rsid w:val="008208DB"/>
    <w:rsid w:val="0082291E"/>
    <w:rsid w:val="00822A81"/>
    <w:rsid w:val="0082546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612A"/>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C2C"/>
    <w:rsid w:val="008B08A7"/>
    <w:rsid w:val="008B1BC1"/>
    <w:rsid w:val="008B43AD"/>
    <w:rsid w:val="008B4D59"/>
    <w:rsid w:val="008B56FB"/>
    <w:rsid w:val="008C17EB"/>
    <w:rsid w:val="008C243D"/>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47870"/>
    <w:rsid w:val="009518B1"/>
    <w:rsid w:val="00952B5D"/>
    <w:rsid w:val="00953AD0"/>
    <w:rsid w:val="00953B08"/>
    <w:rsid w:val="00955457"/>
    <w:rsid w:val="0095786E"/>
    <w:rsid w:val="00960193"/>
    <w:rsid w:val="00963D52"/>
    <w:rsid w:val="00965A4F"/>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1EDA"/>
    <w:rsid w:val="009926E6"/>
    <w:rsid w:val="00993D5D"/>
    <w:rsid w:val="00994420"/>
    <w:rsid w:val="00995115"/>
    <w:rsid w:val="009A0137"/>
    <w:rsid w:val="009A39CD"/>
    <w:rsid w:val="009A7698"/>
    <w:rsid w:val="009A7E88"/>
    <w:rsid w:val="009B299B"/>
    <w:rsid w:val="009B42B5"/>
    <w:rsid w:val="009C03E5"/>
    <w:rsid w:val="009C3AAE"/>
    <w:rsid w:val="009C4442"/>
    <w:rsid w:val="009C6343"/>
    <w:rsid w:val="009D1C01"/>
    <w:rsid w:val="009D2E9C"/>
    <w:rsid w:val="009D54C0"/>
    <w:rsid w:val="009D79B0"/>
    <w:rsid w:val="009E08E2"/>
    <w:rsid w:val="009E11CF"/>
    <w:rsid w:val="009E37EB"/>
    <w:rsid w:val="009E398F"/>
    <w:rsid w:val="009E4B99"/>
    <w:rsid w:val="009E5FE4"/>
    <w:rsid w:val="009F14D6"/>
    <w:rsid w:val="009F2DDE"/>
    <w:rsid w:val="009F32EC"/>
    <w:rsid w:val="009F367F"/>
    <w:rsid w:val="009F3B5A"/>
    <w:rsid w:val="009F4F9F"/>
    <w:rsid w:val="00A009E9"/>
    <w:rsid w:val="00A019EE"/>
    <w:rsid w:val="00A050AE"/>
    <w:rsid w:val="00A051B1"/>
    <w:rsid w:val="00A06730"/>
    <w:rsid w:val="00A07773"/>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479E6"/>
    <w:rsid w:val="00A50AA7"/>
    <w:rsid w:val="00A5228E"/>
    <w:rsid w:val="00A5274C"/>
    <w:rsid w:val="00A529D1"/>
    <w:rsid w:val="00A53133"/>
    <w:rsid w:val="00A545FE"/>
    <w:rsid w:val="00A55FFA"/>
    <w:rsid w:val="00A61163"/>
    <w:rsid w:val="00A613E0"/>
    <w:rsid w:val="00A616E8"/>
    <w:rsid w:val="00A634FC"/>
    <w:rsid w:val="00A64F18"/>
    <w:rsid w:val="00A6648C"/>
    <w:rsid w:val="00A71E3D"/>
    <w:rsid w:val="00A71EEA"/>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B1F55"/>
    <w:rsid w:val="00AB271B"/>
    <w:rsid w:val="00AB3C20"/>
    <w:rsid w:val="00AB4786"/>
    <w:rsid w:val="00AB516F"/>
    <w:rsid w:val="00AB5A87"/>
    <w:rsid w:val="00AB7D5B"/>
    <w:rsid w:val="00AC0EC3"/>
    <w:rsid w:val="00AC38BE"/>
    <w:rsid w:val="00AC5876"/>
    <w:rsid w:val="00AC6D06"/>
    <w:rsid w:val="00AD0F1F"/>
    <w:rsid w:val="00AD32EC"/>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63668"/>
    <w:rsid w:val="00B64448"/>
    <w:rsid w:val="00B71AB2"/>
    <w:rsid w:val="00B75AB9"/>
    <w:rsid w:val="00B7780E"/>
    <w:rsid w:val="00B80378"/>
    <w:rsid w:val="00B80BD8"/>
    <w:rsid w:val="00B81EDD"/>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B7C45"/>
    <w:rsid w:val="00BC1C98"/>
    <w:rsid w:val="00BC3264"/>
    <w:rsid w:val="00BC483D"/>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774E6"/>
    <w:rsid w:val="00C80F10"/>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43D"/>
    <w:rsid w:val="00CC2A51"/>
    <w:rsid w:val="00CC2AE6"/>
    <w:rsid w:val="00CC440E"/>
    <w:rsid w:val="00CC5F46"/>
    <w:rsid w:val="00CC7CE8"/>
    <w:rsid w:val="00CC7E3E"/>
    <w:rsid w:val="00CD225D"/>
    <w:rsid w:val="00CD4449"/>
    <w:rsid w:val="00CD766C"/>
    <w:rsid w:val="00CE4B83"/>
    <w:rsid w:val="00CE4D10"/>
    <w:rsid w:val="00CE6B67"/>
    <w:rsid w:val="00CE75DB"/>
    <w:rsid w:val="00CF03FB"/>
    <w:rsid w:val="00CF0AAE"/>
    <w:rsid w:val="00CF0C11"/>
    <w:rsid w:val="00CF11C0"/>
    <w:rsid w:val="00CF34B1"/>
    <w:rsid w:val="00CF3723"/>
    <w:rsid w:val="00CF3D3F"/>
    <w:rsid w:val="00CF61BB"/>
    <w:rsid w:val="00CF648F"/>
    <w:rsid w:val="00D00C14"/>
    <w:rsid w:val="00D02FD4"/>
    <w:rsid w:val="00D07095"/>
    <w:rsid w:val="00D07A91"/>
    <w:rsid w:val="00D10C9C"/>
    <w:rsid w:val="00D13C8B"/>
    <w:rsid w:val="00D147D8"/>
    <w:rsid w:val="00D16C97"/>
    <w:rsid w:val="00D2147F"/>
    <w:rsid w:val="00D24F8D"/>
    <w:rsid w:val="00D26B88"/>
    <w:rsid w:val="00D26BE6"/>
    <w:rsid w:val="00D31315"/>
    <w:rsid w:val="00D318DD"/>
    <w:rsid w:val="00D32FE6"/>
    <w:rsid w:val="00D33FAE"/>
    <w:rsid w:val="00D35720"/>
    <w:rsid w:val="00D43DD8"/>
    <w:rsid w:val="00D466BB"/>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E042E"/>
    <w:rsid w:val="00DE17E7"/>
    <w:rsid w:val="00DE3EDF"/>
    <w:rsid w:val="00DF1389"/>
    <w:rsid w:val="00DF3BCE"/>
    <w:rsid w:val="00DF424C"/>
    <w:rsid w:val="00DF7167"/>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7B9B"/>
    <w:rsid w:val="00E510B0"/>
    <w:rsid w:val="00E54000"/>
    <w:rsid w:val="00E54A47"/>
    <w:rsid w:val="00E556DC"/>
    <w:rsid w:val="00E572CA"/>
    <w:rsid w:val="00E57865"/>
    <w:rsid w:val="00E65256"/>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9B"/>
    <w:rsid w:val="00E957B7"/>
    <w:rsid w:val="00E97917"/>
    <w:rsid w:val="00E97D83"/>
    <w:rsid w:val="00EA0558"/>
    <w:rsid w:val="00EA3627"/>
    <w:rsid w:val="00EA7141"/>
    <w:rsid w:val="00EB0214"/>
    <w:rsid w:val="00EB1A0B"/>
    <w:rsid w:val="00EB5A36"/>
    <w:rsid w:val="00EB746A"/>
    <w:rsid w:val="00EC108C"/>
    <w:rsid w:val="00EC45B0"/>
    <w:rsid w:val="00EC4830"/>
    <w:rsid w:val="00EC4C7D"/>
    <w:rsid w:val="00EC707F"/>
    <w:rsid w:val="00EC73F1"/>
    <w:rsid w:val="00ED0F50"/>
    <w:rsid w:val="00ED1286"/>
    <w:rsid w:val="00ED63A5"/>
    <w:rsid w:val="00ED6C9C"/>
    <w:rsid w:val="00ED77AD"/>
    <w:rsid w:val="00ED781B"/>
    <w:rsid w:val="00ED7BE5"/>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8F3"/>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5553"/>
    <w:rsid w:val="00F86BB8"/>
    <w:rsid w:val="00F90C8A"/>
    <w:rsid w:val="00F92B3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erc.com/FilingsOrders/us/FERCOrdersRules/Final%20Rule%20PRC-025-1%20and%20PRC-023-3.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PRC-025-1</Number>
    <Date xmlns="987b8a77-3dc6-4154-9fe1-b1e590735b19">2014-08-29T04:00:00+00:00</Date>
    <_dlc_DocId xmlns="cbf880be-c7c2-4487-81cc-39803b2f2238">NERCASSETID-406-380</_dlc_DocId>
    <_dlc_DocIdUrl xmlns="cbf880be-c7c2-4487-81cc-39803b2f2238">
      <Url>http://www.nerc.com/pa/comp/_layouts/DocIdRedir.aspx?ID=NERCASSETID-406-380</Url>
      <Description>NERCASSETID-406-380</Description>
    </_dlc_DocIdUrl>
    <_dlc_DocIdPersistId xmlns="cbf880be-c7c2-4487-81cc-39803b2f2238">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673D4A-03D3-4F57-8E0E-A7EDDD233107}">
  <ds:schemaRefs>
    <ds:schemaRef ds:uri="http://schemas.microsoft.com/sharepoint/events"/>
  </ds:schemaRefs>
</ds:datastoreItem>
</file>

<file path=customXml/itemProps2.xml><?xml version="1.0" encoding="utf-8"?>
<ds:datastoreItem xmlns:ds="http://schemas.openxmlformats.org/officeDocument/2006/customXml" ds:itemID="{209B00CF-6FD1-4A9D-B7D1-E40981A94412}">
  <ds:schemaRefs>
    <ds:schemaRef ds:uri="http://www.w3.org/XML/1998/namespace"/>
    <ds:schemaRef ds:uri="http://purl.org/dc/dcmitype/"/>
    <ds:schemaRef ds:uri="http://purl.org/dc/elements/1.1/"/>
    <ds:schemaRef ds:uri="http://purl.org/dc/terms/"/>
    <ds:schemaRef ds:uri="http://schemas.openxmlformats.org/package/2006/metadata/core-properties"/>
    <ds:schemaRef ds:uri="http://schemas.microsoft.com/office/2006/documentManagement/types"/>
    <ds:schemaRef ds:uri="cbf880be-c7c2-4487-81cc-39803b2f2238"/>
    <ds:schemaRef ds:uri="http://schemas.microsoft.com/office/2006/metadata/properties"/>
    <ds:schemaRef ds:uri="http://schemas.microsoft.com/office/infopath/2007/PartnerControls"/>
    <ds:schemaRef ds:uri="987b8a77-3dc6-4154-9fe1-b1e590735b19"/>
  </ds:schemaRefs>
</ds:datastoreItem>
</file>

<file path=customXml/itemProps3.xml><?xml version="1.0" encoding="utf-8"?>
<ds:datastoreItem xmlns:ds="http://schemas.openxmlformats.org/officeDocument/2006/customXml" ds:itemID="{CD3909D4-23F8-42B3-BC98-93E9D919C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B5DB4-802D-4A96-9ABB-7CED048F5390}">
  <ds:schemaRefs>
    <ds:schemaRef ds:uri="http://schemas.microsoft.com/sharepoint/v3/contenttype/forms"/>
  </ds:schemaRefs>
</ds:datastoreItem>
</file>

<file path=customXml/itemProps5.xml><?xml version="1.0" encoding="utf-8"?>
<ds:datastoreItem xmlns:ds="http://schemas.openxmlformats.org/officeDocument/2006/customXml" ds:itemID="{76FD70D8-8186-49A7-9C00-7284E876D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947</Words>
  <Characters>6455</Characters>
  <Application>Microsoft Office Word</Application>
  <DocSecurity>4</DocSecurity>
  <Lines>53</Lines>
  <Paragraphs>14</Paragraphs>
  <ScaleCrop>false</ScaleCrop>
  <HeadingPairs>
    <vt:vector size="2" baseType="variant">
      <vt:variant>
        <vt:lpstr>Title</vt:lpstr>
      </vt:variant>
      <vt:variant>
        <vt:i4>1</vt:i4>
      </vt:variant>
    </vt:vector>
  </HeadingPairs>
  <TitlesOfParts>
    <vt:vector size="1" baseType="lpstr">
      <vt:lpstr>Generator Relay Loadability</vt:lpstr>
    </vt:vector>
  </TitlesOfParts>
  <LinksUpToDate>false</LinksUpToDate>
  <CharactersWithSpaces>7388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Generator Relay Loadability</dc:title>
  <dc:creator/>
  <cp:lastModifiedBy/>
  <cp:revision>1</cp:revision>
  <dcterms:created xsi:type="dcterms:W3CDTF">2015-05-13T13:57:00Z</dcterms:created>
  <dcterms:modified xsi:type="dcterms:W3CDTF">2015-05-13T13:57:00Z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86702f64-2241-442c-9c32-1849924904f9</vt:lpwstr>
  </property>
  <property fmtid="{D5CDD505-2E9C-101B-9397-08002B2CF9AE}" pid="4" name="Order">
    <vt:r8>38000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